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4AA1" w14:textId="77777777" w:rsidR="006B2FEC" w:rsidRPr="00954B0F" w:rsidRDefault="006B2FEC" w:rsidP="006B2FEC">
      <w:pPr>
        <w:pStyle w:val="HTMLPreformatted"/>
        <w:jc w:val="center"/>
        <w:rPr>
          <w:rFonts w:ascii="Times New Roman" w:hAnsi="Times New Roman"/>
          <w:b/>
          <w:color w:val="0000CC"/>
          <w:szCs w:val="24"/>
        </w:rPr>
      </w:pPr>
      <w:r>
        <w:rPr>
          <w:noProof/>
          <w:color w:val="0000CC"/>
          <w:lang w:val="en-US" w:eastAsia="en-US"/>
        </w:rPr>
        <w:drawing>
          <wp:inline distT="0" distB="0" distL="0" distR="0" wp14:anchorId="05E55576" wp14:editId="4A0C3255">
            <wp:extent cx="5761355"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777240"/>
                    </a:xfrm>
                    <a:prstGeom prst="rect">
                      <a:avLst/>
                    </a:prstGeom>
                    <a:noFill/>
                    <a:ln>
                      <a:noFill/>
                    </a:ln>
                  </pic:spPr>
                </pic:pic>
              </a:graphicData>
            </a:graphic>
          </wp:inline>
        </w:drawing>
      </w:r>
    </w:p>
    <w:p w14:paraId="5EECAFBE" w14:textId="77777777" w:rsidR="006B2FEC" w:rsidRPr="006B2FEC" w:rsidRDefault="006B2FEC" w:rsidP="006B2FEC">
      <w:pPr>
        <w:jc w:val="center"/>
        <w:rPr>
          <w:b/>
          <w:color w:val="0000CC"/>
          <w:sz w:val="22"/>
          <w:szCs w:val="22"/>
        </w:rPr>
      </w:pPr>
      <w:r w:rsidRPr="006B2FEC">
        <w:rPr>
          <w:b/>
          <w:color w:val="0000CC"/>
          <w:sz w:val="22"/>
          <w:szCs w:val="22"/>
        </w:rPr>
        <w:t>SHKOLLA E MAGJISTRATURËS</w:t>
      </w:r>
    </w:p>
    <w:p w14:paraId="391F0123" w14:textId="77777777" w:rsidR="006B2FEC" w:rsidRPr="006B2FEC" w:rsidRDefault="006B2FEC" w:rsidP="006B2FEC">
      <w:pPr>
        <w:jc w:val="center"/>
        <w:rPr>
          <w:b/>
          <w:i/>
          <w:color w:val="0000CC"/>
          <w:sz w:val="22"/>
          <w:szCs w:val="22"/>
        </w:rPr>
      </w:pPr>
      <w:proofErr w:type="spellStart"/>
      <w:r w:rsidRPr="006B2FEC">
        <w:rPr>
          <w:b/>
          <w:i/>
          <w:color w:val="0000CC"/>
          <w:sz w:val="22"/>
          <w:szCs w:val="22"/>
        </w:rPr>
        <w:t>Këshilli</w:t>
      </w:r>
      <w:proofErr w:type="spellEnd"/>
      <w:r w:rsidRPr="006B2FEC">
        <w:rPr>
          <w:b/>
          <w:i/>
          <w:color w:val="0000CC"/>
          <w:sz w:val="22"/>
          <w:szCs w:val="22"/>
        </w:rPr>
        <w:t xml:space="preserve"> </w:t>
      </w:r>
      <w:proofErr w:type="spellStart"/>
      <w:r w:rsidRPr="006B2FEC">
        <w:rPr>
          <w:b/>
          <w:i/>
          <w:color w:val="0000CC"/>
          <w:sz w:val="22"/>
          <w:szCs w:val="22"/>
        </w:rPr>
        <w:t>Drejtues</w:t>
      </w:r>
      <w:proofErr w:type="spellEnd"/>
    </w:p>
    <w:p w14:paraId="757B71E1" w14:textId="77777777" w:rsidR="006B2FEC" w:rsidRDefault="006B2FEC" w:rsidP="006B2FEC">
      <w:pPr>
        <w:ind w:left="3600" w:firstLine="720"/>
        <w:rPr>
          <w:b/>
          <w:color w:val="0000CC"/>
        </w:rPr>
      </w:pPr>
    </w:p>
    <w:p w14:paraId="1BCCC099" w14:textId="77777777" w:rsidR="00082582" w:rsidRDefault="00082582" w:rsidP="006B2FEC">
      <w:pPr>
        <w:jc w:val="center"/>
        <w:rPr>
          <w:b/>
          <w:color w:val="0000CC"/>
        </w:rPr>
      </w:pPr>
    </w:p>
    <w:p w14:paraId="19056ACD" w14:textId="77777777" w:rsidR="006B2FEC" w:rsidRPr="00954B0F" w:rsidRDefault="006B2FEC" w:rsidP="006B2FEC">
      <w:pPr>
        <w:jc w:val="center"/>
        <w:rPr>
          <w:b/>
          <w:color w:val="0000CC"/>
        </w:rPr>
      </w:pPr>
      <w:r w:rsidRPr="00954B0F">
        <w:rPr>
          <w:b/>
          <w:color w:val="0000CC"/>
        </w:rPr>
        <w:t>V</w:t>
      </w:r>
      <w:r>
        <w:rPr>
          <w:b/>
          <w:color w:val="0000CC"/>
        </w:rPr>
        <w:t xml:space="preserve"> </w:t>
      </w:r>
      <w:r w:rsidRPr="00954B0F">
        <w:rPr>
          <w:b/>
          <w:color w:val="0000CC"/>
        </w:rPr>
        <w:t>E</w:t>
      </w:r>
      <w:r>
        <w:rPr>
          <w:b/>
          <w:color w:val="0000CC"/>
        </w:rPr>
        <w:t xml:space="preserve"> </w:t>
      </w:r>
      <w:r w:rsidRPr="00954B0F">
        <w:rPr>
          <w:b/>
          <w:color w:val="0000CC"/>
        </w:rPr>
        <w:t>N</w:t>
      </w:r>
      <w:r>
        <w:rPr>
          <w:b/>
          <w:color w:val="0000CC"/>
        </w:rPr>
        <w:t xml:space="preserve"> </w:t>
      </w:r>
      <w:r w:rsidRPr="00954B0F">
        <w:rPr>
          <w:b/>
          <w:color w:val="0000CC"/>
        </w:rPr>
        <w:t>D</w:t>
      </w:r>
      <w:r>
        <w:rPr>
          <w:b/>
          <w:color w:val="0000CC"/>
        </w:rPr>
        <w:t xml:space="preserve"> </w:t>
      </w:r>
      <w:r w:rsidRPr="00954B0F">
        <w:rPr>
          <w:b/>
          <w:color w:val="0000CC"/>
        </w:rPr>
        <w:t>I</w:t>
      </w:r>
      <w:r>
        <w:rPr>
          <w:b/>
          <w:color w:val="0000CC"/>
        </w:rPr>
        <w:t xml:space="preserve"> </w:t>
      </w:r>
      <w:r w:rsidRPr="00954B0F">
        <w:rPr>
          <w:b/>
          <w:color w:val="0000CC"/>
        </w:rPr>
        <w:t>M</w:t>
      </w:r>
    </w:p>
    <w:p w14:paraId="7FDEFD4E" w14:textId="77777777" w:rsidR="006B2FEC" w:rsidRPr="00954B0F" w:rsidRDefault="006B2FEC" w:rsidP="006B2FEC">
      <w:pPr>
        <w:jc w:val="center"/>
        <w:rPr>
          <w:b/>
          <w:color w:val="0000CC"/>
        </w:rPr>
      </w:pPr>
    </w:p>
    <w:p w14:paraId="1015DE66" w14:textId="77777777" w:rsidR="00062FD1" w:rsidRPr="00062FD1" w:rsidRDefault="00062FD1" w:rsidP="00062FD1">
      <w:pPr>
        <w:jc w:val="center"/>
        <w:rPr>
          <w:b/>
          <w:color w:val="0000CC"/>
          <w:lang w:val="sq-AL"/>
        </w:rPr>
      </w:pPr>
    </w:p>
    <w:p w14:paraId="3201A2FB" w14:textId="77777777" w:rsidR="00062FD1" w:rsidRPr="00062FD1" w:rsidRDefault="00062FD1" w:rsidP="00062FD1">
      <w:pPr>
        <w:jc w:val="center"/>
        <w:rPr>
          <w:b/>
          <w:color w:val="0000CC"/>
          <w:lang w:val="sq-AL"/>
        </w:rPr>
      </w:pPr>
      <w:r w:rsidRPr="00062FD1">
        <w:rPr>
          <w:b/>
          <w:color w:val="0000CC"/>
          <w:lang w:val="sq-AL"/>
        </w:rPr>
        <w:t>Nr. 25, datë 23.10.2017</w:t>
      </w:r>
    </w:p>
    <w:p w14:paraId="03D64C4E" w14:textId="77777777" w:rsidR="00062FD1" w:rsidRPr="00062FD1" w:rsidRDefault="00062FD1" w:rsidP="00062FD1">
      <w:pPr>
        <w:jc w:val="center"/>
        <w:rPr>
          <w:color w:val="0000CC"/>
          <w:lang w:val="sq-AL"/>
        </w:rPr>
      </w:pPr>
    </w:p>
    <w:p w14:paraId="4F3A0D00" w14:textId="77777777" w:rsidR="00062FD1" w:rsidRPr="00062FD1" w:rsidRDefault="00062FD1" w:rsidP="00062FD1">
      <w:pPr>
        <w:jc w:val="center"/>
        <w:rPr>
          <w:b/>
          <w:color w:val="0000CC"/>
          <w:lang w:val="sq-AL"/>
        </w:rPr>
      </w:pPr>
      <w:r w:rsidRPr="00062FD1">
        <w:rPr>
          <w:b/>
          <w:color w:val="0000CC"/>
          <w:lang w:val="sq-AL"/>
        </w:rPr>
        <w:t>PËR NORMIMIN DHE SHPËRBLIMIN E VEPRIMTARISË AKADEMIKE,</w:t>
      </w:r>
    </w:p>
    <w:p w14:paraId="0111897A" w14:textId="77777777" w:rsidR="00062FD1" w:rsidRPr="00062FD1" w:rsidRDefault="00062FD1" w:rsidP="00062FD1">
      <w:pPr>
        <w:jc w:val="center"/>
        <w:rPr>
          <w:rFonts w:eastAsia="Times New Roman"/>
          <w:b/>
          <w:color w:val="0000CC"/>
          <w:lang w:val="sq-AL" w:eastAsia="en-GB"/>
        </w:rPr>
      </w:pPr>
      <w:r w:rsidRPr="00062FD1">
        <w:rPr>
          <w:rFonts w:eastAsia="Times New Roman"/>
          <w:b/>
          <w:color w:val="0000CC"/>
          <w:lang w:val="sq-AL" w:eastAsia="en-GB"/>
        </w:rPr>
        <w:t>NË ZBATIM TE PROGRAMIT TË FORMIMIT FILLESTAR DHE VAZHDUES,</w:t>
      </w:r>
    </w:p>
    <w:p w14:paraId="18D3C3F2" w14:textId="77777777" w:rsidR="00062FD1" w:rsidRPr="00062FD1" w:rsidRDefault="00062FD1" w:rsidP="00062FD1">
      <w:pPr>
        <w:jc w:val="center"/>
        <w:rPr>
          <w:rFonts w:eastAsia="Times New Roman"/>
          <w:b/>
          <w:color w:val="0000CC"/>
          <w:lang w:val="sq-AL" w:eastAsia="en-GB"/>
        </w:rPr>
      </w:pPr>
      <w:r w:rsidRPr="00062FD1">
        <w:rPr>
          <w:rFonts w:eastAsia="Times New Roman"/>
          <w:b/>
          <w:color w:val="0000CC"/>
          <w:lang w:val="sq-AL" w:eastAsia="en-GB"/>
        </w:rPr>
        <w:t>NË SHKOLLËN E MAGJISTRATURËS</w:t>
      </w:r>
    </w:p>
    <w:p w14:paraId="0F10DE5B" w14:textId="77777777" w:rsidR="00062FD1" w:rsidRPr="00062FD1" w:rsidRDefault="00062FD1" w:rsidP="00062FD1">
      <w:pPr>
        <w:jc w:val="both"/>
        <w:rPr>
          <w:color w:val="0000CC"/>
          <w:lang w:val="sq-AL"/>
        </w:rPr>
      </w:pPr>
      <w:r w:rsidRPr="00062FD1">
        <w:rPr>
          <w:color w:val="0000CC"/>
          <w:lang w:val="sq-AL"/>
        </w:rPr>
        <w:tab/>
      </w:r>
      <w:r w:rsidRPr="00062FD1">
        <w:rPr>
          <w:color w:val="0000CC"/>
          <w:lang w:val="sq-AL"/>
        </w:rPr>
        <w:tab/>
        <w:t>(ndryshuar me Vendimin nr. 20, datë 03.10.2019  të Këshillit Drejtues)</w:t>
      </w:r>
    </w:p>
    <w:p w14:paraId="152EF3F5" w14:textId="77777777" w:rsidR="00062FD1" w:rsidRPr="00062FD1" w:rsidRDefault="00062FD1" w:rsidP="00062FD1">
      <w:pPr>
        <w:jc w:val="both"/>
        <w:rPr>
          <w:color w:val="0000CC"/>
          <w:lang w:val="sq-AL"/>
        </w:rPr>
      </w:pPr>
      <w:r w:rsidRPr="00062FD1">
        <w:rPr>
          <w:color w:val="0000CC"/>
          <w:lang w:val="sq-AL"/>
        </w:rPr>
        <w:tab/>
      </w:r>
      <w:r w:rsidRPr="00062FD1">
        <w:rPr>
          <w:color w:val="0000CC"/>
          <w:lang w:val="sq-AL"/>
        </w:rPr>
        <w:tab/>
        <w:t>(ndryshuar me Vendimin nr. 39, datë 22.09.2020 të Këshillit Drejtues)</w:t>
      </w:r>
    </w:p>
    <w:p w14:paraId="4551C440" w14:textId="77777777" w:rsidR="00062FD1" w:rsidRPr="00062FD1" w:rsidRDefault="00062FD1" w:rsidP="00062FD1">
      <w:pPr>
        <w:jc w:val="both"/>
        <w:rPr>
          <w:color w:val="0000CC"/>
          <w:lang w:val="sq-AL"/>
        </w:rPr>
      </w:pPr>
      <w:r w:rsidRPr="00062FD1">
        <w:rPr>
          <w:color w:val="0000CC"/>
          <w:lang w:val="sq-AL"/>
        </w:rPr>
        <w:tab/>
      </w:r>
      <w:r w:rsidRPr="00062FD1">
        <w:rPr>
          <w:color w:val="0000CC"/>
          <w:lang w:val="sq-AL"/>
        </w:rPr>
        <w:tab/>
        <w:t>(ndryshuar me Vendimin nr. 55, datë 28.12.2020 të Këshillit Drejtues)</w:t>
      </w:r>
    </w:p>
    <w:p w14:paraId="6CE29CF5" w14:textId="77777777" w:rsidR="00062FD1" w:rsidRPr="00062FD1" w:rsidRDefault="00062FD1" w:rsidP="00062FD1">
      <w:pPr>
        <w:jc w:val="both"/>
        <w:rPr>
          <w:color w:val="0000CC"/>
          <w:lang w:val="sq-AL"/>
        </w:rPr>
      </w:pPr>
      <w:r w:rsidRPr="00062FD1">
        <w:rPr>
          <w:color w:val="0000CC"/>
          <w:lang w:val="sq-AL"/>
        </w:rPr>
        <w:tab/>
      </w:r>
      <w:r w:rsidRPr="00062FD1">
        <w:rPr>
          <w:color w:val="0000CC"/>
          <w:lang w:val="sq-AL"/>
        </w:rPr>
        <w:tab/>
        <w:t>(ndryshuar me Vendimin nr. 10, datë 15.04.2021 të Këshillit Drejtues)</w:t>
      </w:r>
    </w:p>
    <w:p w14:paraId="4CAC5319" w14:textId="77777777" w:rsidR="00062FD1" w:rsidRPr="00062FD1" w:rsidRDefault="00062FD1" w:rsidP="00062FD1">
      <w:pPr>
        <w:jc w:val="both"/>
        <w:rPr>
          <w:color w:val="0000CC"/>
          <w:lang w:val="sq-AL"/>
        </w:rPr>
      </w:pPr>
      <w:r w:rsidRPr="00062FD1">
        <w:rPr>
          <w:color w:val="0000CC"/>
          <w:lang w:val="sq-AL"/>
        </w:rPr>
        <w:tab/>
      </w:r>
      <w:r w:rsidRPr="00062FD1">
        <w:rPr>
          <w:color w:val="0000CC"/>
          <w:lang w:val="sq-AL"/>
        </w:rPr>
        <w:tab/>
        <w:t>(ndryshuar me Vendimin nr. 22, datë 15.07.2021 të Këshillit Drejtues)</w:t>
      </w:r>
    </w:p>
    <w:p w14:paraId="09FCB5BC" w14:textId="77777777" w:rsidR="00062FD1" w:rsidRPr="00062FD1" w:rsidRDefault="00062FD1" w:rsidP="00062FD1">
      <w:pPr>
        <w:jc w:val="both"/>
        <w:rPr>
          <w:color w:val="0000CC"/>
          <w:lang w:val="sq-AL"/>
        </w:rPr>
      </w:pPr>
      <w:r w:rsidRPr="00062FD1">
        <w:rPr>
          <w:color w:val="0000CC"/>
          <w:lang w:val="sq-AL"/>
        </w:rPr>
        <w:tab/>
      </w:r>
      <w:r w:rsidRPr="00062FD1">
        <w:rPr>
          <w:color w:val="0000CC"/>
          <w:lang w:val="sq-AL"/>
        </w:rPr>
        <w:tab/>
        <w:t>(ndryshuar me Vendimin nr. 29, datë 23.09.2021 të Këshillit Drejtues)</w:t>
      </w:r>
    </w:p>
    <w:p w14:paraId="3ED4A3FF" w14:textId="77777777" w:rsidR="00062FD1" w:rsidRPr="00062FD1" w:rsidRDefault="00062FD1" w:rsidP="00062FD1">
      <w:pPr>
        <w:ind w:left="720" w:firstLine="720"/>
        <w:jc w:val="both"/>
        <w:rPr>
          <w:color w:val="17365D"/>
          <w:lang w:val="sq-AL"/>
        </w:rPr>
      </w:pPr>
      <w:r w:rsidRPr="00062FD1">
        <w:rPr>
          <w:color w:val="17365D"/>
          <w:lang w:val="sq-AL"/>
        </w:rPr>
        <w:t>(ndryshuar me Vendimin nr. 18,datë 02.06.2022 të Këshillit Drejtues)</w:t>
      </w:r>
      <w:bookmarkStart w:id="0" w:name="_GoBack"/>
      <w:bookmarkEnd w:id="0"/>
    </w:p>
    <w:p w14:paraId="7EA43809" w14:textId="77777777" w:rsidR="00062FD1" w:rsidRPr="00062FD1" w:rsidRDefault="00062FD1" w:rsidP="00062FD1">
      <w:pPr>
        <w:ind w:left="720" w:firstLine="720"/>
        <w:jc w:val="both"/>
        <w:rPr>
          <w:color w:val="17365D"/>
          <w:lang w:val="sq-AL"/>
        </w:rPr>
      </w:pPr>
      <w:r w:rsidRPr="00062FD1">
        <w:rPr>
          <w:color w:val="17365D"/>
          <w:lang w:val="sq-AL"/>
        </w:rPr>
        <w:t>(ndryshuar me Vendimin nr. .....,datë 26.01.2023 të Këshillit Drejtues)</w:t>
      </w:r>
    </w:p>
    <w:p w14:paraId="7D06BFA1" w14:textId="77777777" w:rsidR="00062FD1" w:rsidRPr="00062FD1" w:rsidRDefault="00062FD1" w:rsidP="00062FD1">
      <w:pPr>
        <w:jc w:val="both"/>
        <w:rPr>
          <w:color w:val="17365D"/>
          <w:lang w:val="sq-AL"/>
        </w:rPr>
      </w:pPr>
    </w:p>
    <w:p w14:paraId="06F28831" w14:textId="77777777" w:rsidR="00062FD1" w:rsidRPr="00062FD1" w:rsidRDefault="00062FD1" w:rsidP="00062FD1">
      <w:pPr>
        <w:jc w:val="both"/>
        <w:rPr>
          <w:color w:val="0000CC"/>
          <w:lang w:val="sq-AL"/>
        </w:rPr>
      </w:pPr>
    </w:p>
    <w:p w14:paraId="215F674A" w14:textId="77777777" w:rsidR="00062FD1" w:rsidRPr="00062FD1" w:rsidRDefault="00062FD1" w:rsidP="00062FD1">
      <w:pPr>
        <w:jc w:val="both"/>
        <w:outlineLvl w:val="0"/>
        <w:rPr>
          <w:rFonts w:eastAsia="Times New Roman"/>
          <w:b/>
          <w:color w:val="0000CC"/>
          <w:lang w:val="sq-AL" w:eastAsia="zh-CN"/>
        </w:rPr>
      </w:pPr>
      <w:r w:rsidRPr="00062FD1">
        <w:rPr>
          <w:color w:val="0000CC"/>
          <w:lang w:val="sq-AL"/>
        </w:rPr>
        <w:t>Mbështetur në nenin 118 të Kushtetutës së Republikës së Shqipërisë; në nenin 243 dhe 248 të ligjit nr. 155/2016 “</w:t>
      </w:r>
      <w:r w:rsidRPr="00062FD1">
        <w:rPr>
          <w:i/>
          <w:color w:val="0000CC"/>
          <w:lang w:val="sq-AL"/>
        </w:rPr>
        <w:t>Për organet e qeverisjes së sistemit të drejtësisë</w:t>
      </w:r>
      <w:r w:rsidRPr="00062FD1">
        <w:rPr>
          <w:color w:val="0000CC"/>
          <w:lang w:val="sq-AL"/>
        </w:rPr>
        <w:t>”; të ligjit nr. 96/2015 “</w:t>
      </w:r>
      <w:r w:rsidRPr="00062FD1">
        <w:rPr>
          <w:i/>
          <w:color w:val="0000CC"/>
          <w:lang w:val="sq-AL"/>
        </w:rPr>
        <w:t>Për statusin e gjyqtarëve dhe prokurorëve në Republikën e Shqipërisë</w:t>
      </w:r>
      <w:r w:rsidRPr="00062FD1">
        <w:rPr>
          <w:color w:val="0000CC"/>
          <w:lang w:val="sq-AL"/>
        </w:rPr>
        <w:t>”; të ligjit nr. 98/2016 “</w:t>
      </w:r>
      <w:r w:rsidRPr="00062FD1">
        <w:rPr>
          <w:i/>
          <w:color w:val="0000CC"/>
          <w:lang w:val="sq-AL"/>
        </w:rPr>
        <w:t>Për organizimin e pushtetit gjyqësor në Republikën e Shqipërisë</w:t>
      </w:r>
      <w:r w:rsidRPr="00062FD1">
        <w:rPr>
          <w:color w:val="0000CC"/>
          <w:lang w:val="sq-AL"/>
        </w:rPr>
        <w:t>”; të ligjit nr. 84/2016 “</w:t>
      </w:r>
      <w:r w:rsidRPr="00062FD1">
        <w:rPr>
          <w:i/>
          <w:color w:val="0000CC"/>
          <w:lang w:val="sq-AL"/>
        </w:rPr>
        <w:t>Për rivlerësimin kalimtar të gjyqtarëve dhe prokurorëve të Republikës së Shqipërisë</w:t>
      </w:r>
      <w:r w:rsidRPr="00062FD1">
        <w:rPr>
          <w:color w:val="0000CC"/>
          <w:lang w:val="sq-AL"/>
        </w:rPr>
        <w:t>”; të nenit 124 të ligjit nr. 80/2015 “</w:t>
      </w:r>
      <w:r w:rsidRPr="00062FD1">
        <w:rPr>
          <w:i/>
          <w:color w:val="0000CC"/>
          <w:lang w:val="sq-AL"/>
        </w:rPr>
        <w:t>Për arsimin e lartë në Republikën e Shqipërisë</w:t>
      </w:r>
      <w:r w:rsidRPr="00062FD1">
        <w:rPr>
          <w:color w:val="0000CC"/>
          <w:lang w:val="sq-AL"/>
        </w:rPr>
        <w:t>” (i ndryshuar); ligjit nr. 130/2016 “</w:t>
      </w:r>
      <w:r w:rsidRPr="00062FD1">
        <w:rPr>
          <w:i/>
          <w:color w:val="0000CC"/>
          <w:lang w:val="sq-AL"/>
        </w:rPr>
        <w:t>Për buxhetin e vitit 2017</w:t>
      </w:r>
      <w:r w:rsidRPr="00062FD1">
        <w:rPr>
          <w:color w:val="0000CC"/>
          <w:lang w:val="sq-AL"/>
        </w:rPr>
        <w:t>”; të Vendimit të Këshillit të Ministrave nr. 748, datë 11.06.2009 “</w:t>
      </w:r>
      <w:r w:rsidRPr="00062FD1">
        <w:rPr>
          <w:i/>
          <w:color w:val="0000CC"/>
          <w:lang w:val="sq-AL"/>
        </w:rPr>
        <w:t>Për trajtimin me pagë dhe shtesa mbi pagë të punonjësve të personelit akademik të institucioneve publike të arsimit të lartë</w:t>
      </w:r>
      <w:r w:rsidRPr="00062FD1">
        <w:rPr>
          <w:color w:val="0000CC"/>
          <w:lang w:val="sq-AL"/>
        </w:rPr>
        <w:t xml:space="preserve">”, (i ndryshuar), si dhe të Vendimit të Këshillit të Ministrave </w:t>
      </w:r>
      <w:r w:rsidRPr="00062FD1">
        <w:rPr>
          <w:rFonts w:eastAsia="Times New Roman"/>
          <w:color w:val="0000CC"/>
          <w:lang w:val="sq-AL" w:eastAsia="zh-CN"/>
        </w:rPr>
        <w:t>nr. 870, datë 14.12.2011 “</w:t>
      </w:r>
      <w:r w:rsidRPr="00062FD1">
        <w:rPr>
          <w:rFonts w:eastAsia="Times New Roman"/>
          <w:i/>
          <w:color w:val="0000CC"/>
          <w:lang w:val="sq-AL" w:eastAsia="zh-CN"/>
        </w:rPr>
        <w:t>Për trajtimin financiar të punonjësve që dërgohen me shërbim jashtë vendit</w:t>
      </w:r>
      <w:r w:rsidRPr="00062FD1">
        <w:rPr>
          <w:rFonts w:eastAsia="Times New Roman"/>
          <w:color w:val="0000CC"/>
          <w:lang w:val="sq-AL" w:eastAsia="zh-CN"/>
        </w:rPr>
        <w:t>”</w:t>
      </w:r>
      <w:r w:rsidRPr="00062FD1">
        <w:rPr>
          <w:color w:val="0000CC"/>
          <w:lang w:val="sq-AL"/>
        </w:rPr>
        <w:t xml:space="preserve"> me propozim të Drejtorit të Shkollës së Magjistraturës, Këshilli Drejtues, i mbledhur më datë 23.10.2017,</w:t>
      </w:r>
    </w:p>
    <w:p w14:paraId="640A5128" w14:textId="77777777" w:rsidR="00062FD1" w:rsidRPr="00062FD1" w:rsidRDefault="00062FD1" w:rsidP="00062FD1">
      <w:pPr>
        <w:jc w:val="both"/>
        <w:rPr>
          <w:b/>
          <w:color w:val="0000CC"/>
          <w:lang w:val="sq-AL"/>
        </w:rPr>
      </w:pPr>
    </w:p>
    <w:p w14:paraId="7AD84C1C" w14:textId="77777777" w:rsidR="00062FD1" w:rsidRPr="00062FD1" w:rsidRDefault="00062FD1" w:rsidP="00062FD1">
      <w:pPr>
        <w:jc w:val="both"/>
        <w:rPr>
          <w:b/>
          <w:color w:val="0000CC"/>
          <w:lang w:val="sq-AL"/>
        </w:rPr>
      </w:pPr>
      <w:r w:rsidRPr="00062FD1">
        <w:rPr>
          <w:b/>
          <w:color w:val="0000CC"/>
          <w:lang w:val="sq-AL"/>
        </w:rPr>
        <w:t>V E N D O S I:</w:t>
      </w:r>
    </w:p>
    <w:p w14:paraId="56ECD38B" w14:textId="77777777" w:rsidR="00062FD1" w:rsidRPr="00062FD1" w:rsidRDefault="00062FD1" w:rsidP="00062FD1">
      <w:pPr>
        <w:jc w:val="both"/>
        <w:rPr>
          <w:b/>
          <w:color w:val="0000CC"/>
          <w:lang w:val="sq-AL"/>
        </w:rPr>
      </w:pPr>
    </w:p>
    <w:p w14:paraId="567C619F"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Stafi Pedagogjik i Shkollës së Magjistraturës quhet personeli me kohë të plotë dhe të pjesshme, i cili përfshin: pedagogë të brendshëm dhe të jashtëm, të Programit të Formimit Fillestar, si dhe ekspertë të Programit të Formimit Vazhdues.</w:t>
      </w:r>
    </w:p>
    <w:p w14:paraId="7CBA00B4" w14:textId="77777777" w:rsidR="00062FD1" w:rsidRPr="00062FD1" w:rsidRDefault="00062FD1" w:rsidP="00062FD1">
      <w:pPr>
        <w:ind w:left="720"/>
        <w:contextualSpacing/>
        <w:jc w:val="both"/>
        <w:rPr>
          <w:rFonts w:eastAsia="Times New Roman"/>
          <w:color w:val="0000CC"/>
          <w:lang w:val="sq-AL"/>
        </w:rPr>
      </w:pPr>
      <w:r w:rsidRPr="00062FD1">
        <w:rPr>
          <w:rFonts w:eastAsia="Times New Roman"/>
          <w:color w:val="0000CC"/>
          <w:lang w:val="sq-AL"/>
        </w:rPr>
        <w:t xml:space="preserve">Ky staf mbështetet edhe nga lehtësues dhe moderatorë në Programin e Formimit Vazhdues. </w:t>
      </w:r>
    </w:p>
    <w:p w14:paraId="06B9E178" w14:textId="77777777" w:rsidR="00062FD1" w:rsidRPr="00062FD1" w:rsidRDefault="00062FD1" w:rsidP="00062FD1">
      <w:pPr>
        <w:ind w:left="720"/>
        <w:contextualSpacing/>
        <w:jc w:val="both"/>
        <w:rPr>
          <w:rFonts w:eastAsia="Times New Roman"/>
          <w:color w:val="0000CC"/>
          <w:lang w:val="sq-AL"/>
        </w:rPr>
      </w:pPr>
    </w:p>
    <w:p w14:paraId="240B779C"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lastRenderedPageBreak/>
        <w:t xml:space="preserve">Veprimtaritë, në të cilat angazhohet stafi pedagogjik dhe mbështetës në Shkollën e Magjistraturës, janë: </w:t>
      </w:r>
    </w:p>
    <w:p w14:paraId="66F86C4B" w14:textId="77777777" w:rsidR="00062FD1" w:rsidRPr="00062FD1" w:rsidRDefault="00062FD1" w:rsidP="00062FD1">
      <w:pPr>
        <w:numPr>
          <w:ilvl w:val="0"/>
          <w:numId w:val="2"/>
        </w:numPr>
        <w:spacing w:after="200" w:line="276" w:lineRule="auto"/>
        <w:contextualSpacing/>
        <w:jc w:val="both"/>
        <w:rPr>
          <w:rFonts w:eastAsia="Times New Roman"/>
          <w:color w:val="0000CC"/>
          <w:lang w:val="sq-AL"/>
        </w:rPr>
      </w:pPr>
      <w:r w:rsidRPr="00062FD1">
        <w:rPr>
          <w:rFonts w:eastAsia="Times New Roman"/>
          <w:color w:val="0000CC"/>
          <w:lang w:val="sq-AL"/>
        </w:rPr>
        <w:t xml:space="preserve">Mësimdhënie për Programin e Formimit Fillestar si dhe ekspertizë në aktivitetet e organizuara në kudër të Programit të Formimit Vazhdues, përkatësisht: konferenca, seminare, ëorkshop-e etj., të detajuara në kalendarë/vite akademike; </w:t>
      </w:r>
    </w:p>
    <w:p w14:paraId="635F642B" w14:textId="77777777" w:rsidR="00062FD1" w:rsidRPr="00062FD1" w:rsidRDefault="00062FD1" w:rsidP="00062FD1">
      <w:pPr>
        <w:numPr>
          <w:ilvl w:val="0"/>
          <w:numId w:val="2"/>
        </w:numPr>
        <w:spacing w:after="200" w:line="276" w:lineRule="auto"/>
        <w:contextualSpacing/>
        <w:jc w:val="both"/>
        <w:rPr>
          <w:rFonts w:eastAsia="Times New Roman"/>
          <w:color w:val="0000CC"/>
          <w:lang w:val="sq-AL"/>
        </w:rPr>
      </w:pPr>
      <w:r w:rsidRPr="00062FD1">
        <w:rPr>
          <w:rFonts w:eastAsia="Times New Roman"/>
          <w:color w:val="0000CC"/>
          <w:lang w:val="sq-AL"/>
        </w:rPr>
        <w:t xml:space="preserve">Kërkime shkencore, botime, studime etj.; </w:t>
      </w:r>
    </w:p>
    <w:p w14:paraId="5D92A72D" w14:textId="77777777" w:rsidR="00062FD1" w:rsidRPr="00062FD1" w:rsidRDefault="00062FD1" w:rsidP="00062FD1">
      <w:pPr>
        <w:numPr>
          <w:ilvl w:val="0"/>
          <w:numId w:val="2"/>
        </w:numPr>
        <w:spacing w:after="200" w:line="276" w:lineRule="auto"/>
        <w:contextualSpacing/>
        <w:jc w:val="both"/>
        <w:rPr>
          <w:rFonts w:eastAsia="Times New Roman"/>
          <w:color w:val="0000CC"/>
          <w:lang w:val="sq-AL"/>
        </w:rPr>
      </w:pPr>
      <w:r w:rsidRPr="00062FD1">
        <w:rPr>
          <w:rFonts w:eastAsia="Times New Roman"/>
          <w:color w:val="0000CC"/>
          <w:lang w:val="sq-AL"/>
        </w:rPr>
        <w:t xml:space="preserve">Mbështetje për institucionin. </w:t>
      </w:r>
    </w:p>
    <w:p w14:paraId="5E245638" w14:textId="77777777" w:rsidR="00062FD1" w:rsidRPr="00062FD1" w:rsidRDefault="00062FD1" w:rsidP="00062FD1">
      <w:pPr>
        <w:ind w:left="1440"/>
        <w:contextualSpacing/>
        <w:jc w:val="both"/>
        <w:rPr>
          <w:rFonts w:eastAsia="Times New Roman"/>
          <w:color w:val="0000CC"/>
          <w:lang w:val="sq-AL"/>
        </w:rPr>
      </w:pPr>
    </w:p>
    <w:p w14:paraId="330C7943"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 xml:space="preserve">Stafi pedagogjik, kryen veprimtaritë akademike të përcaktuara në pikën 2 të këtij vendimi, në mënyrë të ndërthurur, me raporte të ndryshme sipas misionit të njësisë dhe përshkrimit të vendit të punës. </w:t>
      </w:r>
    </w:p>
    <w:p w14:paraId="0094CDCB"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Calibri"/>
          <w:lang w:val="sq-AL" w:eastAsia="x-none"/>
        </w:rPr>
        <w:t>“</w:t>
      </w:r>
      <w:r w:rsidRPr="00062FD1">
        <w:rPr>
          <w:rFonts w:eastAsia="Times New Roman"/>
          <w:lang w:val="sq-AL" w:eastAsia="en-GB"/>
        </w:rPr>
        <w:t>Mësimdhënia/ ekspertiza në Programin e Formimit Fillestar dhe vazhdues përfshin</w:t>
      </w:r>
    </w:p>
    <w:p w14:paraId="67A79F0A" w14:textId="77777777" w:rsidR="00062FD1" w:rsidRPr="00062FD1" w:rsidRDefault="00062FD1" w:rsidP="00062FD1">
      <w:pPr>
        <w:numPr>
          <w:ilvl w:val="0"/>
          <w:numId w:val="23"/>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Veprimtaria në auditor</w:t>
      </w:r>
    </w:p>
    <w:p w14:paraId="248D289D" w14:textId="77777777" w:rsidR="00062FD1" w:rsidRPr="00062FD1" w:rsidRDefault="00062FD1" w:rsidP="00062FD1">
      <w:pPr>
        <w:numPr>
          <w:ilvl w:val="0"/>
          <w:numId w:val="19"/>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Leksione/seminare</w:t>
      </w:r>
    </w:p>
    <w:p w14:paraId="565BD624" w14:textId="77777777" w:rsidR="00062FD1" w:rsidRPr="00062FD1" w:rsidRDefault="00062FD1" w:rsidP="00062FD1">
      <w:pPr>
        <w:numPr>
          <w:ilvl w:val="0"/>
          <w:numId w:val="19"/>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Gjyqe imituese</w:t>
      </w:r>
    </w:p>
    <w:p w14:paraId="1C330B61" w14:textId="77777777" w:rsidR="00062FD1" w:rsidRPr="00062FD1" w:rsidRDefault="00062FD1" w:rsidP="00062FD1">
      <w:pPr>
        <w:numPr>
          <w:ilvl w:val="0"/>
          <w:numId w:val="20"/>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Debat</w:t>
      </w:r>
    </w:p>
    <w:p w14:paraId="6D485C15" w14:textId="77777777" w:rsidR="00062FD1" w:rsidRPr="00062FD1" w:rsidRDefault="00062FD1" w:rsidP="00062FD1">
      <w:pPr>
        <w:numPr>
          <w:ilvl w:val="0"/>
          <w:numId w:val="20"/>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Përgatitje aktesh</w:t>
      </w:r>
    </w:p>
    <w:p w14:paraId="0C017549" w14:textId="77777777" w:rsidR="00062FD1" w:rsidRPr="00062FD1" w:rsidRDefault="00062FD1" w:rsidP="00062FD1">
      <w:pPr>
        <w:numPr>
          <w:ilvl w:val="0"/>
          <w:numId w:val="20"/>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Diskutime të çështjeve të praktikës në institucione</w:t>
      </w:r>
    </w:p>
    <w:p w14:paraId="2EFD3B7A" w14:textId="77777777" w:rsidR="00062FD1" w:rsidRPr="00062FD1" w:rsidRDefault="00062FD1" w:rsidP="00062FD1">
      <w:pPr>
        <w:numPr>
          <w:ilvl w:val="0"/>
          <w:numId w:val="20"/>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Përgatitje të dosjeve civile/penale</w:t>
      </w:r>
    </w:p>
    <w:p w14:paraId="43DF7583" w14:textId="77777777" w:rsidR="00062FD1" w:rsidRPr="00062FD1" w:rsidRDefault="00062FD1" w:rsidP="00062FD1">
      <w:pPr>
        <w:numPr>
          <w:ilvl w:val="0"/>
          <w:numId w:val="20"/>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 xml:space="preserve">Praktika sipas fushave penale/civile/administrative/kushtetuese (si të përgatiten raportet dhe </w:t>
      </w:r>
      <w:r w:rsidRPr="00062FD1">
        <w:rPr>
          <w:rFonts w:eastAsia="Times New Roman"/>
          <w:color w:val="7030A0"/>
          <w:lang w:val="sq-AL" w:eastAsia="en-GB"/>
        </w:rPr>
        <w:t>memot</w:t>
      </w:r>
      <w:r w:rsidRPr="00062FD1">
        <w:rPr>
          <w:rFonts w:eastAsia="Times New Roman"/>
          <w:color w:val="FF0000"/>
          <w:lang w:val="sq-AL" w:eastAsia="en-GB"/>
        </w:rPr>
        <w:t>)</w:t>
      </w:r>
    </w:p>
    <w:p w14:paraId="6EABF349" w14:textId="77777777" w:rsidR="00062FD1" w:rsidRPr="00062FD1" w:rsidRDefault="00062FD1" w:rsidP="00062FD1">
      <w:pPr>
        <w:numPr>
          <w:ilvl w:val="0"/>
          <w:numId w:val="20"/>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Ekspertë/ lehtësues/moderatorë në sesionet trajnuese</w:t>
      </w:r>
    </w:p>
    <w:p w14:paraId="55A12969" w14:textId="77777777" w:rsidR="00062FD1" w:rsidRPr="00062FD1" w:rsidRDefault="00062FD1" w:rsidP="00062FD1">
      <w:pPr>
        <w:numPr>
          <w:ilvl w:val="0"/>
          <w:numId w:val="20"/>
        </w:numPr>
        <w:spacing w:after="200" w:line="276" w:lineRule="auto"/>
        <w:contextualSpacing/>
        <w:jc w:val="both"/>
        <w:rPr>
          <w:rFonts w:eastAsia="Times New Roman"/>
          <w:color w:val="7030A0"/>
          <w:lang w:val="sq-AL" w:eastAsia="en-GB"/>
        </w:rPr>
      </w:pPr>
      <w:r w:rsidRPr="00062FD1">
        <w:rPr>
          <w:rFonts w:eastAsia="Times New Roman"/>
          <w:i/>
          <w:color w:val="7030A0"/>
          <w:lang w:val="sq-AL" w:eastAsia="en-GB"/>
        </w:rPr>
        <w:t>Ndjekje dhe drejtim i praktikës paraprofesionale</w:t>
      </w:r>
    </w:p>
    <w:p w14:paraId="22BE7E95" w14:textId="77777777" w:rsidR="00062FD1" w:rsidRPr="00062FD1" w:rsidRDefault="00062FD1" w:rsidP="00062FD1">
      <w:pPr>
        <w:ind w:left="720"/>
        <w:contextualSpacing/>
        <w:jc w:val="both"/>
        <w:rPr>
          <w:rFonts w:eastAsia="Times New Roman"/>
          <w:color w:val="7030A0"/>
          <w:lang w:val="sq-AL" w:eastAsia="en-GB"/>
        </w:rPr>
      </w:pPr>
    </w:p>
    <w:p w14:paraId="010AE104" w14:textId="77777777" w:rsidR="00062FD1" w:rsidRPr="00062FD1" w:rsidRDefault="00062FD1" w:rsidP="00062FD1">
      <w:pPr>
        <w:numPr>
          <w:ilvl w:val="0"/>
          <w:numId w:val="23"/>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Veprimtaria jashtë auditorit, në mbështetje të procesit mësimor</w:t>
      </w:r>
    </w:p>
    <w:p w14:paraId="1967037D" w14:textId="77777777" w:rsidR="00062FD1" w:rsidRPr="00062FD1" w:rsidRDefault="00062FD1" w:rsidP="00062FD1">
      <w:pPr>
        <w:numPr>
          <w:ilvl w:val="0"/>
          <w:numId w:val="24"/>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Kontrolli dhe vlerësimi i dijeve (Provim lënde, vlerësim i vazhduar, detyra kursi)</w:t>
      </w:r>
    </w:p>
    <w:p w14:paraId="5CFA87A5" w14:textId="77777777" w:rsidR="00062FD1" w:rsidRPr="00062FD1" w:rsidRDefault="00062FD1" w:rsidP="00062FD1">
      <w:pPr>
        <w:numPr>
          <w:ilvl w:val="0"/>
          <w:numId w:val="24"/>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Ndjekje dhe drejtim i praktikës profesionale (gjyqtarë/prokurorë të përcaktuar nga KLGJ dhe KLP)</w:t>
      </w:r>
    </w:p>
    <w:p w14:paraId="3C625073" w14:textId="77777777" w:rsidR="00062FD1" w:rsidRPr="00062FD1" w:rsidRDefault="00062FD1" w:rsidP="00062FD1">
      <w:pPr>
        <w:numPr>
          <w:ilvl w:val="0"/>
          <w:numId w:val="24"/>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Hartime tezash për provimin e pranimit</w:t>
      </w:r>
    </w:p>
    <w:p w14:paraId="22B51B94" w14:textId="77777777" w:rsidR="00062FD1" w:rsidRPr="00062FD1" w:rsidRDefault="00062FD1" w:rsidP="00062FD1">
      <w:pPr>
        <w:numPr>
          <w:ilvl w:val="0"/>
          <w:numId w:val="24"/>
        </w:numPr>
        <w:spacing w:after="200" w:line="276" w:lineRule="auto"/>
        <w:contextualSpacing/>
        <w:jc w:val="both"/>
        <w:rPr>
          <w:rFonts w:eastAsia="Times New Roman"/>
          <w:color w:val="FF0000"/>
          <w:lang w:val="sq-AL" w:eastAsia="en-GB"/>
        </w:rPr>
      </w:pPr>
      <w:r w:rsidRPr="00062FD1">
        <w:rPr>
          <w:rFonts w:eastAsia="Times New Roman"/>
          <w:color w:val="FF0000"/>
          <w:lang w:val="sq-AL" w:eastAsia="en-GB"/>
        </w:rPr>
        <w:t>Pjesëmarrje në komisione “</w:t>
      </w:r>
      <w:r w:rsidRPr="00062FD1">
        <w:rPr>
          <w:rFonts w:eastAsia="Times New Roman"/>
          <w:i/>
          <w:color w:val="FF0000"/>
          <w:lang w:val="sq-AL" w:eastAsia="en-GB"/>
        </w:rPr>
        <w:t>ad hoc</w:t>
      </w:r>
      <w:r w:rsidRPr="00062FD1">
        <w:rPr>
          <w:rFonts w:eastAsia="Times New Roman"/>
          <w:color w:val="FF0000"/>
          <w:lang w:val="sq-AL" w:eastAsia="en-GB"/>
        </w:rPr>
        <w:t xml:space="preserve">” </w:t>
      </w:r>
    </w:p>
    <w:p w14:paraId="18EFC167"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Veprimtari mbështetëse për institucionin në realizimin e misionit të tij, të cilat realizohen nga stafi pedagogjik me kohë të plotë, konsiderohen veprimtaritë për hartimin e programeve të planeve të mësimit, të programeve të Formimit Vazhdues; hartimi i rregulloreve apo dokumentacioneve; pjesëmarrja në komisione “</w:t>
      </w:r>
      <w:r w:rsidRPr="00062FD1">
        <w:rPr>
          <w:rFonts w:eastAsia="Times New Roman"/>
          <w:i/>
          <w:color w:val="0000CC"/>
          <w:lang w:val="sq-AL"/>
        </w:rPr>
        <w:t>ad hoc</w:t>
      </w:r>
      <w:r w:rsidRPr="00062FD1">
        <w:rPr>
          <w:rFonts w:eastAsia="Times New Roman"/>
          <w:color w:val="0000CC"/>
          <w:lang w:val="sq-AL"/>
        </w:rPr>
        <w:t xml:space="preserve">”; pjesëmarrja në veprimtari të tjera jashtë institucionit kur këto bazohen në marrëveshje; veprimtari promovuese të institucionit, si dhe në veprimtari të tjera të kësaj natyre. </w:t>
      </w:r>
    </w:p>
    <w:p w14:paraId="40DB4E94" w14:textId="77777777" w:rsidR="00062FD1" w:rsidRPr="00062FD1" w:rsidRDefault="00062FD1" w:rsidP="00062FD1">
      <w:pPr>
        <w:ind w:left="720"/>
        <w:contextualSpacing/>
        <w:jc w:val="both"/>
        <w:rPr>
          <w:rFonts w:eastAsia="Times New Roman"/>
          <w:color w:val="0000CC"/>
          <w:lang w:val="sq-AL"/>
        </w:rPr>
      </w:pPr>
    </w:p>
    <w:p w14:paraId="38626C84"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Veprimtaritë kërkimore dhe krijuese në SHM përfshijnë: pjesëmarrje në programe apo projekte kërkimore dhe shkencore, studime e botime artikujsh shkencorë, monografi, organizim veprimtarish shkencore (konferenca, seminare, ëorkshope etj.) si dhe pjesëmarrje në to, veprimtari të tjera kërkimi apo krijuese të programuara nga institucioni.</w:t>
      </w:r>
    </w:p>
    <w:p w14:paraId="32E9DB3F" w14:textId="77777777" w:rsidR="00062FD1" w:rsidRPr="00062FD1" w:rsidRDefault="00062FD1" w:rsidP="00062FD1">
      <w:pPr>
        <w:ind w:left="720"/>
        <w:contextualSpacing/>
        <w:jc w:val="both"/>
        <w:rPr>
          <w:rFonts w:eastAsia="Times New Roman"/>
          <w:color w:val="0000CC"/>
          <w:lang w:val="sq-AL"/>
        </w:rPr>
      </w:pPr>
    </w:p>
    <w:p w14:paraId="508CCAD0"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 xml:space="preserve">Mësimdhënia e normuar vjetore, për stafin pedagogjik me kohë të plotë do të konsiderohet: zhvillimi i leksioneve/seminareve në Programin e Formimit Fillestar,  ndjekja e praktikës paraprofesionale, vlerësime nëpërmjet provimeve përfundimtare të lëndëve, </w:t>
      </w:r>
      <w:r w:rsidRPr="00062FD1">
        <w:rPr>
          <w:rFonts w:eastAsia="Times New Roman"/>
          <w:strike/>
          <w:color w:val="0000CC"/>
          <w:lang w:val="sq-AL"/>
        </w:rPr>
        <w:t>komisioni i temave/oponenca</w:t>
      </w:r>
      <w:r w:rsidRPr="00062FD1">
        <w:rPr>
          <w:rFonts w:eastAsia="Times New Roman"/>
          <w:color w:val="0000CC"/>
          <w:lang w:val="sq-AL"/>
        </w:rPr>
        <w:t xml:space="preserve">, </w:t>
      </w:r>
      <w:r w:rsidRPr="00062FD1">
        <w:rPr>
          <w:rFonts w:eastAsia="Times New Roman"/>
          <w:i/>
          <w:color w:val="7030A0"/>
          <w:lang w:val="sq-AL"/>
        </w:rPr>
        <w:t>udhëheqja dhe vlerësimi i memove</w:t>
      </w:r>
      <w:r w:rsidRPr="00062FD1">
        <w:rPr>
          <w:rFonts w:eastAsia="Times New Roman"/>
          <w:color w:val="0000CC"/>
          <w:lang w:val="sq-AL"/>
        </w:rPr>
        <w:t xml:space="preserve"> komisioni i provimit të vitit të dytë, zhvillimi, realizimi dhe vlerësimi i gjyqeve imituese dhe dosjeve, të përcaktuara këto për çdo disiplinë apo veprimtari formuese në planet mësimore të Programit të Formimit Fillestar, si dhe pjesëmarrja në cilësinë e ekspertit ose moderatorit në sesionet trajnuese të Programit të Formimit Vazhdues. </w:t>
      </w:r>
    </w:p>
    <w:p w14:paraId="444D7FFA" w14:textId="77777777" w:rsidR="00062FD1" w:rsidRPr="00062FD1" w:rsidRDefault="00062FD1" w:rsidP="00062FD1">
      <w:pPr>
        <w:contextualSpacing/>
        <w:jc w:val="both"/>
        <w:rPr>
          <w:rFonts w:eastAsia="Times New Roman"/>
          <w:color w:val="0000CC"/>
          <w:lang w:val="sq-AL"/>
        </w:rPr>
      </w:pPr>
    </w:p>
    <w:p w14:paraId="6C3381AB"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"Orë mësimore", në kuptim të këtij vendimi, konsiderohen si veprimtaria teorike, ashtu edhe ajo praktike.</w:t>
      </w:r>
    </w:p>
    <w:p w14:paraId="0F0273E3" w14:textId="77777777" w:rsidR="00062FD1" w:rsidRPr="00062FD1" w:rsidRDefault="00062FD1" w:rsidP="00062FD1">
      <w:pPr>
        <w:ind w:left="720"/>
        <w:contextualSpacing/>
        <w:jc w:val="both"/>
        <w:rPr>
          <w:rFonts w:eastAsia="Times New Roman"/>
          <w:color w:val="0000CC"/>
          <w:lang w:val="sq-AL"/>
        </w:rPr>
      </w:pPr>
    </w:p>
    <w:p w14:paraId="6C247B31" w14:textId="77777777" w:rsidR="00062FD1" w:rsidRPr="00062FD1" w:rsidRDefault="00062FD1" w:rsidP="00062FD1">
      <w:pPr>
        <w:numPr>
          <w:ilvl w:val="0"/>
          <w:numId w:val="1"/>
        </w:numPr>
        <w:tabs>
          <w:tab w:val="left" w:pos="851"/>
        </w:tabs>
        <w:spacing w:after="200" w:line="276" w:lineRule="auto"/>
        <w:contextualSpacing/>
        <w:jc w:val="both"/>
        <w:rPr>
          <w:rFonts w:eastAsia="Times New Roman"/>
          <w:color w:val="0000CC"/>
          <w:lang w:val="sq-AL"/>
        </w:rPr>
      </w:pPr>
      <w:r w:rsidRPr="00062FD1">
        <w:rPr>
          <w:rFonts w:eastAsia="Times New Roman"/>
          <w:color w:val="0000CC"/>
          <w:lang w:val="sq-AL"/>
        </w:rPr>
        <w:t xml:space="preserve">Ora mësimore do të jetë </w:t>
      </w:r>
      <w:r w:rsidRPr="00062FD1">
        <w:rPr>
          <w:rFonts w:eastAsia="Times New Roman"/>
          <w:color w:val="FF0000"/>
          <w:lang w:val="sq-AL"/>
        </w:rPr>
        <w:t xml:space="preserve">50 minuta </w:t>
      </w:r>
      <w:r w:rsidRPr="00062FD1">
        <w:rPr>
          <w:rFonts w:eastAsia="Times New Roman"/>
          <w:color w:val="0000CC"/>
          <w:lang w:val="sq-AL"/>
        </w:rPr>
        <w:t xml:space="preserve">dhe do të konvertohet sipas koeficientit të konvertimit të orës mësimore për programin e doktoratës 1 (një) orë mësimore (50 minutëshe) konvertohet me koeficientin 2.5. </w:t>
      </w:r>
    </w:p>
    <w:p w14:paraId="4E96FBB0" w14:textId="77777777" w:rsidR="00062FD1" w:rsidRPr="00062FD1" w:rsidRDefault="00062FD1" w:rsidP="00062FD1">
      <w:pPr>
        <w:ind w:left="720"/>
        <w:contextualSpacing/>
        <w:jc w:val="both"/>
        <w:rPr>
          <w:rFonts w:eastAsia="Times New Roman"/>
          <w:color w:val="0000CC"/>
          <w:lang w:val="sq-AL"/>
        </w:rPr>
      </w:pPr>
    </w:p>
    <w:p w14:paraId="11427691"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 xml:space="preserve">Mësimdhënia e normuar vjetore për personelin akademik me kohë të plotë, e shprehur në orë mësimore e konvertuar në Formimin Fillestar </w:t>
      </w:r>
      <w:r w:rsidRPr="00062FD1">
        <w:rPr>
          <w:rFonts w:eastAsia="Times New Roman"/>
          <w:strike/>
          <w:color w:val="0000CC"/>
          <w:lang w:val="sq-AL"/>
        </w:rPr>
        <w:t>dhe Vazhdues</w:t>
      </w:r>
      <w:r w:rsidRPr="00062FD1">
        <w:rPr>
          <w:rFonts w:eastAsia="Times New Roman"/>
          <w:color w:val="0000CC"/>
          <w:lang w:val="sq-AL"/>
        </w:rPr>
        <w:t xml:space="preserve"> është si më poshtë: </w:t>
      </w:r>
    </w:p>
    <w:p w14:paraId="3DCB542B" w14:textId="77777777" w:rsidR="00062FD1" w:rsidRPr="00062FD1" w:rsidRDefault="00062FD1" w:rsidP="00062FD1">
      <w:pPr>
        <w:ind w:left="360"/>
        <w:contextualSpacing/>
        <w:jc w:val="both"/>
        <w:rPr>
          <w:rFonts w:eastAsia="Times New Roman"/>
          <w:color w:val="0000CC"/>
          <w:lang w:val="sq-AL"/>
        </w:rPr>
      </w:pPr>
    </w:p>
    <w:p w14:paraId="3C68D801" w14:textId="77777777" w:rsidR="00062FD1" w:rsidRPr="00062FD1" w:rsidRDefault="00062FD1" w:rsidP="00062FD1">
      <w:pPr>
        <w:numPr>
          <w:ilvl w:val="0"/>
          <w:numId w:val="3"/>
        </w:numPr>
        <w:spacing w:after="200" w:line="276" w:lineRule="auto"/>
        <w:contextualSpacing/>
        <w:jc w:val="both"/>
        <w:rPr>
          <w:rFonts w:eastAsia="Times New Roman"/>
          <w:color w:val="FF0000"/>
          <w:lang w:val="sq-AL"/>
        </w:rPr>
      </w:pPr>
      <w:r w:rsidRPr="00062FD1">
        <w:rPr>
          <w:rFonts w:eastAsia="Times New Roman"/>
          <w:color w:val="FF0000"/>
          <w:lang w:val="sq-AL"/>
        </w:rPr>
        <w:t xml:space="preserve">Për Drejtorin e Shkollës </w:t>
      </w:r>
      <w:r w:rsidRPr="00062FD1">
        <w:rPr>
          <w:rFonts w:eastAsia="Times New Roman"/>
          <w:color w:val="FF0000"/>
          <w:lang w:val="sq-AL"/>
        </w:rPr>
        <w:tab/>
      </w:r>
      <w:r w:rsidRPr="00062FD1">
        <w:rPr>
          <w:rFonts w:eastAsia="Times New Roman"/>
          <w:color w:val="FF0000"/>
          <w:lang w:val="sq-AL"/>
        </w:rPr>
        <w:tab/>
        <w:t xml:space="preserve">        deri në 70 orë ne auditor/ 175 orë e konvertuar  </w:t>
      </w:r>
    </w:p>
    <w:p w14:paraId="1D3364CC" w14:textId="77777777" w:rsidR="00062FD1" w:rsidRPr="00062FD1" w:rsidRDefault="00062FD1" w:rsidP="00062FD1">
      <w:pPr>
        <w:numPr>
          <w:ilvl w:val="0"/>
          <w:numId w:val="3"/>
        </w:numPr>
        <w:spacing w:after="200" w:line="276" w:lineRule="auto"/>
        <w:contextualSpacing/>
        <w:jc w:val="both"/>
        <w:rPr>
          <w:rFonts w:eastAsia="Times New Roman"/>
          <w:color w:val="FF0000"/>
          <w:lang w:val="sq-AL"/>
        </w:rPr>
      </w:pPr>
      <w:r w:rsidRPr="00062FD1">
        <w:rPr>
          <w:rFonts w:eastAsia="Times New Roman"/>
          <w:color w:val="FF0000"/>
          <w:lang w:val="sq-AL"/>
        </w:rPr>
        <w:t xml:space="preserve">Për Drejtuesit e Programeve (Fillestar dhe Vazhdues )   120 orë në auditor/ 300 orë e konvertuar </w:t>
      </w:r>
    </w:p>
    <w:p w14:paraId="57AEB60F" w14:textId="77777777" w:rsidR="00062FD1" w:rsidRPr="00062FD1" w:rsidRDefault="00062FD1" w:rsidP="00062FD1">
      <w:pPr>
        <w:numPr>
          <w:ilvl w:val="0"/>
          <w:numId w:val="3"/>
        </w:numPr>
        <w:spacing w:after="200" w:line="276" w:lineRule="auto"/>
        <w:contextualSpacing/>
        <w:jc w:val="both"/>
        <w:rPr>
          <w:rFonts w:eastAsia="Times New Roman"/>
          <w:color w:val="FF0000"/>
          <w:lang w:val="sq-AL"/>
        </w:rPr>
      </w:pPr>
      <w:r w:rsidRPr="00062FD1">
        <w:rPr>
          <w:rFonts w:eastAsia="Times New Roman"/>
          <w:color w:val="FF0000"/>
          <w:lang w:val="sq-AL"/>
        </w:rPr>
        <w:t>Për pedagogët e brendshëm</w:t>
      </w:r>
      <w:r w:rsidRPr="00062FD1">
        <w:rPr>
          <w:rFonts w:eastAsia="Times New Roman"/>
          <w:color w:val="FF0000"/>
          <w:lang w:val="sq-AL"/>
        </w:rPr>
        <w:tab/>
      </w:r>
      <w:r w:rsidRPr="00062FD1">
        <w:rPr>
          <w:rFonts w:eastAsia="Times New Roman"/>
          <w:color w:val="FF0000"/>
          <w:lang w:val="sq-AL"/>
        </w:rPr>
        <w:tab/>
        <w:t xml:space="preserve">          140 orë në auditor/ 350 orë e konvertuar</w:t>
      </w:r>
    </w:p>
    <w:p w14:paraId="648B3005" w14:textId="77777777" w:rsidR="00062FD1" w:rsidRPr="00062FD1" w:rsidRDefault="00062FD1" w:rsidP="00062FD1">
      <w:pPr>
        <w:spacing w:after="200" w:line="276" w:lineRule="auto"/>
        <w:ind w:left="1260"/>
        <w:jc w:val="both"/>
        <w:rPr>
          <w:rFonts w:eastAsia="Times New Roman"/>
          <w:lang w:val="sq-AL"/>
        </w:rPr>
      </w:pPr>
    </w:p>
    <w:p w14:paraId="4ABE1019" w14:textId="77777777" w:rsidR="00062FD1" w:rsidRPr="00062FD1" w:rsidRDefault="00062FD1" w:rsidP="00062FD1">
      <w:pPr>
        <w:spacing w:after="200" w:line="276" w:lineRule="auto"/>
        <w:ind w:left="720"/>
        <w:jc w:val="both"/>
        <w:rPr>
          <w:rFonts w:eastAsia="Times New Roman"/>
          <w:color w:val="7030A0"/>
          <w:lang w:val="sq-AL"/>
        </w:rPr>
      </w:pPr>
      <w:r w:rsidRPr="00062FD1">
        <w:rPr>
          <w:rFonts w:eastAsia="Times New Roman"/>
          <w:color w:val="7030A0"/>
          <w:lang w:val="sq-AL"/>
        </w:rPr>
        <w:t xml:space="preserve">Pedagogët e brendshëm do të plotësojnë normën e mësipërme nëse kanë zhvilluar në auditor 60 %  të orëve totale për çdo lëndë”. </w:t>
      </w:r>
    </w:p>
    <w:p w14:paraId="787C7894" w14:textId="77777777" w:rsidR="00062FD1" w:rsidRPr="00062FD1" w:rsidRDefault="00062FD1" w:rsidP="00062FD1">
      <w:pPr>
        <w:contextualSpacing/>
        <w:jc w:val="both"/>
        <w:rPr>
          <w:rFonts w:eastAsia="Times New Roman"/>
          <w:color w:val="FF0000"/>
          <w:lang w:val="sq-AL"/>
        </w:rPr>
      </w:pPr>
    </w:p>
    <w:p w14:paraId="5A2ABC60"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Pedagogët e brendshëm të cilët plotësojnë sasinë e orëve sipas normës së përcaktuar në pikën 10, do të paguhen mbi këtë normë:</w:t>
      </w:r>
    </w:p>
    <w:p w14:paraId="34899D65" w14:textId="77777777" w:rsidR="00062FD1" w:rsidRPr="00062FD1" w:rsidRDefault="00062FD1" w:rsidP="00062FD1">
      <w:pPr>
        <w:ind w:left="720"/>
        <w:contextualSpacing/>
        <w:jc w:val="both"/>
        <w:rPr>
          <w:rFonts w:eastAsia="Times New Roman"/>
          <w:color w:val="0000CC"/>
          <w:lang w:val="sq-AL"/>
        </w:rPr>
      </w:pPr>
    </w:p>
    <w:p w14:paraId="1E680276" w14:textId="77777777" w:rsidR="00062FD1" w:rsidRPr="00062FD1" w:rsidRDefault="00062FD1" w:rsidP="00062FD1">
      <w:pPr>
        <w:numPr>
          <w:ilvl w:val="0"/>
          <w:numId w:val="9"/>
        </w:numPr>
        <w:spacing w:after="200" w:line="276" w:lineRule="auto"/>
        <w:contextualSpacing/>
        <w:jc w:val="both"/>
        <w:rPr>
          <w:rFonts w:eastAsia="Times New Roman"/>
          <w:color w:val="FF0000"/>
          <w:lang w:val="sq-AL"/>
        </w:rPr>
      </w:pPr>
      <w:r w:rsidRPr="00062FD1">
        <w:rPr>
          <w:rFonts w:eastAsia="Calibri"/>
          <w:color w:val="FF0000"/>
          <w:lang w:val="sq-AL"/>
        </w:rPr>
        <w:t>deri në 3 aktivitete trajnuese /vit akademik në Programin e Formimit Vazhdues si dhe deri në 20% të orëve të ngarkesës mësimore/vit akademik në Programin e Formimit Fillestar, por jo më shumë se një pagë mujore</w:t>
      </w:r>
      <w:r w:rsidRPr="00062FD1">
        <w:rPr>
          <w:rFonts w:eastAsia="Times New Roman"/>
          <w:color w:val="FF0000"/>
          <w:lang w:val="sq-AL"/>
        </w:rPr>
        <w:t>;</w:t>
      </w:r>
    </w:p>
    <w:p w14:paraId="17332962" w14:textId="77777777" w:rsidR="00062FD1" w:rsidRPr="00062FD1" w:rsidRDefault="00062FD1" w:rsidP="00062FD1">
      <w:pPr>
        <w:numPr>
          <w:ilvl w:val="0"/>
          <w:numId w:val="9"/>
        </w:numPr>
        <w:spacing w:after="200" w:line="276" w:lineRule="auto"/>
        <w:contextualSpacing/>
        <w:jc w:val="both"/>
        <w:rPr>
          <w:rFonts w:eastAsia="Times New Roman"/>
          <w:color w:val="0000CC"/>
          <w:lang w:val="sq-AL"/>
        </w:rPr>
      </w:pPr>
      <w:r w:rsidRPr="00062FD1">
        <w:rPr>
          <w:rFonts w:eastAsia="Times New Roman"/>
          <w:color w:val="0000CC"/>
          <w:lang w:val="sq-AL"/>
        </w:rPr>
        <w:t xml:space="preserve">si anëtarë apo vëzhgues në komisionet e provimit të pranimit, </w:t>
      </w:r>
    </w:p>
    <w:p w14:paraId="20C75724" w14:textId="77777777" w:rsidR="00062FD1" w:rsidRPr="00062FD1" w:rsidRDefault="00062FD1" w:rsidP="00062FD1">
      <w:pPr>
        <w:ind w:left="1440"/>
        <w:contextualSpacing/>
        <w:jc w:val="both"/>
        <w:rPr>
          <w:rFonts w:eastAsia="Times New Roman"/>
          <w:color w:val="0000CC"/>
          <w:lang w:val="sq-AL"/>
        </w:rPr>
      </w:pPr>
    </w:p>
    <w:p w14:paraId="1A66BEF2" w14:textId="77777777" w:rsidR="00062FD1" w:rsidRPr="00062FD1" w:rsidRDefault="00062FD1" w:rsidP="00062FD1">
      <w:pPr>
        <w:numPr>
          <w:ilvl w:val="0"/>
          <w:numId w:val="9"/>
        </w:numPr>
        <w:spacing w:after="200" w:line="276" w:lineRule="auto"/>
        <w:contextualSpacing/>
        <w:jc w:val="both"/>
        <w:rPr>
          <w:rFonts w:eastAsia="Times New Roman"/>
          <w:color w:val="0000CC"/>
          <w:lang w:val="sq-AL"/>
        </w:rPr>
      </w:pPr>
      <w:r w:rsidRPr="00062FD1">
        <w:rPr>
          <w:rFonts w:eastAsia="Times New Roman"/>
          <w:color w:val="0000CC"/>
          <w:lang w:val="sq-AL"/>
        </w:rPr>
        <w:t>si anëtarë të komisioneve të hartimit të tezave të provimit të pranimit.</w:t>
      </w:r>
    </w:p>
    <w:p w14:paraId="72B80C99" w14:textId="77777777" w:rsidR="00062FD1" w:rsidRPr="00062FD1" w:rsidRDefault="00062FD1" w:rsidP="00062FD1">
      <w:pPr>
        <w:ind w:left="720"/>
        <w:contextualSpacing/>
        <w:jc w:val="both"/>
        <w:rPr>
          <w:rFonts w:eastAsia="Times New Roman"/>
          <w:color w:val="0000CC"/>
          <w:lang w:val="sq-AL"/>
        </w:rPr>
      </w:pPr>
    </w:p>
    <w:p w14:paraId="19C83CC0" w14:textId="77777777" w:rsidR="00062FD1" w:rsidRPr="00062FD1" w:rsidRDefault="00062FD1" w:rsidP="00062FD1">
      <w:pPr>
        <w:numPr>
          <w:ilvl w:val="0"/>
          <w:numId w:val="9"/>
        </w:numPr>
        <w:spacing w:after="200" w:line="276" w:lineRule="auto"/>
        <w:contextualSpacing/>
        <w:jc w:val="both"/>
        <w:rPr>
          <w:rFonts w:eastAsia="Times New Roman"/>
          <w:color w:val="FF0000"/>
          <w:lang w:val="sq-AL"/>
        </w:rPr>
      </w:pPr>
      <w:r w:rsidRPr="00062FD1">
        <w:rPr>
          <w:rFonts w:eastAsia="Calibri"/>
          <w:color w:val="FF0000"/>
          <w:lang w:val="sq-AL"/>
        </w:rPr>
        <w:lastRenderedPageBreak/>
        <w:t>si anëtarë të Komisionit të Provimit Përfundimtar të vitit të dytë</w:t>
      </w:r>
    </w:p>
    <w:p w14:paraId="31CF4C45" w14:textId="77777777" w:rsidR="00062FD1" w:rsidRPr="00062FD1" w:rsidRDefault="00062FD1" w:rsidP="00062FD1">
      <w:pPr>
        <w:contextualSpacing/>
        <w:jc w:val="both"/>
        <w:rPr>
          <w:rFonts w:eastAsia="Times New Roman"/>
          <w:color w:val="0000CC"/>
          <w:lang w:val="sq-AL"/>
        </w:rPr>
      </w:pPr>
      <w:r w:rsidRPr="00062FD1">
        <w:rPr>
          <w:rFonts w:eastAsia="Times New Roman"/>
          <w:color w:val="0000CC"/>
          <w:lang w:val="sq-AL"/>
        </w:rPr>
        <w:t xml:space="preserve"> </w:t>
      </w:r>
    </w:p>
    <w:p w14:paraId="78ADC795"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Mësimdhënia e normuar vjetore për stafin pedagogjik me kohë të pjesshme konsideron: përgatitjen dhe zhvillimin e leksioneve/seminareve  në Programin e Formimit Fillestar, praktika paraprofesionale, vlerësime nëpërmjet provimeve përfundimtare të lëndëve, vlerësime raportesh etj, të përcaktuara këto për çdo disiplinë apo veprimtari formuese në planet mësimore të Programit të Formimit Fillestar, si dhe aktivizimi si ekspert në Programin e Formimit Vazhdues.</w:t>
      </w:r>
    </w:p>
    <w:p w14:paraId="3DCE9B23" w14:textId="77777777" w:rsidR="00062FD1" w:rsidRPr="00062FD1" w:rsidRDefault="00062FD1" w:rsidP="00062FD1">
      <w:pPr>
        <w:ind w:left="720"/>
        <w:contextualSpacing/>
        <w:jc w:val="both"/>
        <w:rPr>
          <w:rFonts w:eastAsia="Times New Roman"/>
          <w:color w:val="0000CC"/>
          <w:lang w:val="sq-AL"/>
        </w:rPr>
      </w:pPr>
    </w:p>
    <w:p w14:paraId="52B81D9B" w14:textId="4DBA84EE" w:rsidR="00062FD1" w:rsidRPr="00062FD1" w:rsidRDefault="00062FD1" w:rsidP="00062FD1">
      <w:pPr>
        <w:pStyle w:val="ListParagraph"/>
        <w:numPr>
          <w:ilvl w:val="0"/>
          <w:numId w:val="1"/>
        </w:numPr>
        <w:spacing w:after="200" w:line="276" w:lineRule="auto"/>
        <w:jc w:val="both"/>
        <w:rPr>
          <w:color w:val="7030A0"/>
          <w:sz w:val="24"/>
          <w:szCs w:val="24"/>
        </w:rPr>
      </w:pPr>
      <w:r w:rsidRPr="00062FD1">
        <w:rPr>
          <w:color w:val="7030A0"/>
          <w:sz w:val="24"/>
          <w:szCs w:val="24"/>
        </w:rPr>
        <w:t xml:space="preserve">Mësimdhënia e normuar vjetore për stafin pedagogjik me kohë të pjesshme në Formimin Fillestar duhet të jetë jo më shumë se 40% e ngarkesës vjetore të lëndës vetëm për lëndët kryesore, përveç rasteve kur parashikohet ndryshe nga Këshilli Drejtues. Për lëndët, të cilat nuk kanë pedagog të brendshëm, ngarkesa më e madhe e saj do të mbulohet nga pedagogu i jashtëm, titullar i lëndës. </w:t>
      </w:r>
    </w:p>
    <w:p w14:paraId="7C549ECB" w14:textId="77777777" w:rsidR="00062FD1" w:rsidRPr="00062FD1" w:rsidRDefault="00062FD1" w:rsidP="00062FD1">
      <w:pPr>
        <w:spacing w:after="200" w:line="276" w:lineRule="auto"/>
        <w:ind w:left="720"/>
        <w:jc w:val="both"/>
        <w:rPr>
          <w:rFonts w:eastAsia="Times New Roman"/>
          <w:color w:val="7030A0"/>
          <w:lang w:val="sq-AL"/>
        </w:rPr>
      </w:pPr>
      <w:r w:rsidRPr="00062FD1">
        <w:rPr>
          <w:rFonts w:eastAsia="Times New Roman"/>
          <w:color w:val="7030A0"/>
          <w:lang w:val="sq-AL"/>
        </w:rPr>
        <w:t>Mësimdhënia e normuar vjetore për stafin pedagogjik me kohë të plotë në Formimin Fillestar duhet të jetë 60% të ngarkesës vjetore të lëndës vetëm për lëndët kryesore. Në rastet kur pedagogët largohen nga mësimdhënia për arsye objektive ose për arsye të tjera, gjatë vitit akademik, orët do të shpërndahen ndërmjet pedagogëve  me urdhër të Drejtorit.</w:t>
      </w:r>
    </w:p>
    <w:p w14:paraId="555CC9A1" w14:textId="77777777" w:rsidR="00062FD1" w:rsidRPr="00062FD1" w:rsidRDefault="00062FD1" w:rsidP="00062FD1">
      <w:pPr>
        <w:spacing w:after="200" w:line="276" w:lineRule="auto"/>
        <w:ind w:left="720"/>
        <w:jc w:val="both"/>
        <w:rPr>
          <w:rFonts w:eastAsia="Times New Roman"/>
          <w:color w:val="7030A0"/>
          <w:lang w:val="sq-AL"/>
        </w:rPr>
      </w:pPr>
      <w:r w:rsidRPr="00062FD1">
        <w:rPr>
          <w:rFonts w:eastAsia="Times New Roman"/>
          <w:color w:val="7030A0"/>
          <w:lang w:val="sq-AL"/>
        </w:rPr>
        <w:t>Në rast të pamundësisë së realizimit të orëve mësimore nga pedagoget sipas orarit mësimor të përcaktuar, pedagogu titullar i lëndës kujdeset për realizimin e tyre duke i zhvilluar ato vetë, ose duke ia caktuar një pedagogu tjetër, nga grupi i pedagogëve së asaj lënde</w:t>
      </w:r>
      <w:r w:rsidRPr="00062FD1">
        <w:rPr>
          <w:rFonts w:eastAsia="Calibri"/>
          <w:color w:val="7030A0"/>
          <w:lang w:val="sq-AL"/>
        </w:rPr>
        <w:t xml:space="preserve"> </w:t>
      </w:r>
      <w:r w:rsidRPr="00062FD1">
        <w:rPr>
          <w:rFonts w:eastAsia="Times New Roman"/>
          <w:color w:val="7030A0"/>
          <w:lang w:val="sq-AL"/>
        </w:rPr>
        <w:t>duke mos cënuar % e ndarjes së orëve.</w:t>
      </w:r>
      <w:r w:rsidRPr="00062FD1">
        <w:rPr>
          <w:rFonts w:eastAsia="Calibri"/>
          <w:color w:val="7030A0"/>
          <w:lang w:val="sq-AL"/>
        </w:rPr>
        <w:t xml:space="preserve"> </w:t>
      </w:r>
    </w:p>
    <w:p w14:paraId="63B0174D" w14:textId="77777777" w:rsidR="00062FD1" w:rsidRPr="00062FD1" w:rsidRDefault="00062FD1" w:rsidP="00062FD1">
      <w:pPr>
        <w:contextualSpacing/>
        <w:jc w:val="both"/>
        <w:rPr>
          <w:rFonts w:eastAsia="Times New Roman"/>
          <w:color w:val="0000CC"/>
          <w:lang w:val="sq-AL"/>
        </w:rPr>
      </w:pPr>
    </w:p>
    <w:p w14:paraId="757AE1CD"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 xml:space="preserve">Stafi pedagogjik me kohë të pjesshme, sipas rolit dhe veprimtarisë që kryen, si dhe pedagogët e brendshëm për veprimtarinë mbi normë të përmendur në pikën 11 /a, b, </w:t>
      </w:r>
      <w:r w:rsidRPr="00062FD1">
        <w:rPr>
          <w:rFonts w:eastAsia="Times New Roman"/>
          <w:color w:val="FF0000"/>
          <w:lang w:val="sq-AL"/>
        </w:rPr>
        <w:t>d</w:t>
      </w:r>
      <w:r w:rsidRPr="00062FD1">
        <w:rPr>
          <w:rFonts w:eastAsia="Times New Roman"/>
          <w:color w:val="0000CC"/>
          <w:lang w:val="sq-AL"/>
        </w:rPr>
        <w:t xml:space="preserve"> do të trajtohen financiarisht sipas kategorizimit të mëposhtëm: </w:t>
      </w:r>
    </w:p>
    <w:p w14:paraId="541838FA" w14:textId="4AED5F35" w:rsidR="00062FD1" w:rsidRPr="00062FD1" w:rsidRDefault="00062FD1" w:rsidP="00062FD1">
      <w:pPr>
        <w:spacing w:after="200" w:line="276" w:lineRule="auto"/>
        <w:contextualSpacing/>
        <w:jc w:val="both"/>
        <w:rPr>
          <w:rFonts w:eastAsia="Times New Roman"/>
          <w:strike/>
          <w:color w:val="0000CC"/>
          <w:lang w:val="sq-AL"/>
        </w:rPr>
      </w:pPr>
    </w:p>
    <w:p w14:paraId="404EAF2E" w14:textId="77777777" w:rsidR="00062FD1" w:rsidRPr="00062FD1" w:rsidRDefault="00062FD1" w:rsidP="00062FD1">
      <w:pPr>
        <w:spacing w:line="360" w:lineRule="auto"/>
        <w:ind w:left="547" w:firstLine="86"/>
        <w:contextualSpacing/>
        <w:jc w:val="both"/>
        <w:rPr>
          <w:rFonts w:eastAsia="Times New Roman"/>
          <w:color w:val="7030A0"/>
          <w:lang w:val="sq-AL"/>
        </w:rPr>
      </w:pPr>
      <w:r w:rsidRPr="00062FD1">
        <w:rPr>
          <w:rFonts w:eastAsia="Times New Roman"/>
          <w:color w:val="7030A0"/>
          <w:lang w:val="sq-AL"/>
        </w:rPr>
        <w:t>•</w:t>
      </w:r>
      <w:r w:rsidRPr="00062FD1">
        <w:rPr>
          <w:rFonts w:eastAsia="Times New Roman"/>
          <w:color w:val="7030A0"/>
          <w:lang w:val="sq-AL"/>
        </w:rPr>
        <w:tab/>
        <w:t xml:space="preserve">Profesorë </w:t>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t>1410 lekë/orë mësimore</w:t>
      </w:r>
    </w:p>
    <w:p w14:paraId="25A341D1" w14:textId="77777777" w:rsidR="00062FD1" w:rsidRPr="00062FD1" w:rsidRDefault="00062FD1" w:rsidP="00062FD1">
      <w:pPr>
        <w:spacing w:line="360" w:lineRule="auto"/>
        <w:ind w:left="547" w:firstLine="86"/>
        <w:contextualSpacing/>
        <w:jc w:val="both"/>
        <w:rPr>
          <w:rFonts w:eastAsia="Times New Roman"/>
          <w:color w:val="7030A0"/>
          <w:lang w:val="sq-AL"/>
        </w:rPr>
      </w:pPr>
      <w:r w:rsidRPr="00062FD1">
        <w:rPr>
          <w:rFonts w:eastAsia="Times New Roman"/>
          <w:color w:val="7030A0"/>
          <w:lang w:val="sq-AL"/>
        </w:rPr>
        <w:t>•</w:t>
      </w:r>
      <w:r w:rsidRPr="00062FD1">
        <w:rPr>
          <w:rFonts w:eastAsia="Times New Roman"/>
          <w:color w:val="7030A0"/>
          <w:lang w:val="sq-AL"/>
        </w:rPr>
        <w:tab/>
        <w:t xml:space="preserve">Profesor i asocuar </w:t>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t>1295 lekë/orë mësimore</w:t>
      </w:r>
    </w:p>
    <w:p w14:paraId="0320BB0F" w14:textId="77777777" w:rsidR="00062FD1" w:rsidRPr="00062FD1" w:rsidRDefault="00062FD1" w:rsidP="00062FD1">
      <w:pPr>
        <w:spacing w:line="360" w:lineRule="auto"/>
        <w:ind w:left="547" w:firstLine="86"/>
        <w:contextualSpacing/>
        <w:jc w:val="both"/>
        <w:rPr>
          <w:rFonts w:eastAsia="Times New Roman"/>
          <w:color w:val="7030A0"/>
          <w:lang w:val="sq-AL"/>
        </w:rPr>
      </w:pPr>
      <w:r w:rsidRPr="00062FD1">
        <w:rPr>
          <w:rFonts w:eastAsia="Times New Roman"/>
          <w:color w:val="7030A0"/>
          <w:lang w:val="sq-AL"/>
        </w:rPr>
        <w:t>•</w:t>
      </w:r>
      <w:r w:rsidRPr="00062FD1">
        <w:rPr>
          <w:rFonts w:eastAsia="Times New Roman"/>
          <w:color w:val="7030A0"/>
          <w:lang w:val="sq-AL"/>
        </w:rPr>
        <w:tab/>
        <w:t>Gjyqtar, prokuror, avokat, specialist i fushës me eksperiencë,</w:t>
      </w:r>
      <w:r w:rsidRPr="00062FD1">
        <w:rPr>
          <w:rFonts w:eastAsia="Times New Roman"/>
          <w:color w:val="7030A0"/>
          <w:lang w:val="sq-AL"/>
        </w:rPr>
        <w:tab/>
      </w:r>
    </w:p>
    <w:p w14:paraId="19B4D08B" w14:textId="77777777" w:rsidR="00062FD1" w:rsidRPr="00062FD1" w:rsidRDefault="00062FD1" w:rsidP="00062FD1">
      <w:pPr>
        <w:spacing w:line="360" w:lineRule="auto"/>
        <w:ind w:left="547" w:firstLine="86"/>
        <w:contextualSpacing/>
        <w:jc w:val="both"/>
        <w:rPr>
          <w:rFonts w:eastAsia="Times New Roman"/>
          <w:color w:val="7030A0"/>
          <w:lang w:val="sq-AL"/>
        </w:rPr>
      </w:pPr>
      <w:r w:rsidRPr="00062FD1">
        <w:rPr>
          <w:rFonts w:eastAsia="Times New Roman"/>
          <w:color w:val="7030A0"/>
          <w:lang w:val="sq-AL"/>
        </w:rPr>
        <w:t xml:space="preserve">  jo më pak se 10 vjet </w:t>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t>1200 lekë/orë mësimore</w:t>
      </w:r>
    </w:p>
    <w:p w14:paraId="48B130C6" w14:textId="77777777" w:rsidR="00062FD1" w:rsidRPr="00062FD1" w:rsidRDefault="00062FD1" w:rsidP="00062FD1">
      <w:pPr>
        <w:spacing w:line="360" w:lineRule="auto"/>
        <w:ind w:left="547" w:firstLine="86"/>
        <w:contextualSpacing/>
        <w:jc w:val="both"/>
        <w:rPr>
          <w:rFonts w:eastAsia="Times New Roman"/>
          <w:color w:val="7030A0"/>
          <w:lang w:val="sq-AL"/>
        </w:rPr>
      </w:pPr>
      <w:r w:rsidRPr="00062FD1">
        <w:rPr>
          <w:rFonts w:eastAsia="Times New Roman"/>
          <w:color w:val="7030A0"/>
          <w:lang w:val="sq-AL"/>
        </w:rPr>
        <w:t>•</w:t>
      </w:r>
      <w:r w:rsidRPr="00062FD1">
        <w:rPr>
          <w:rFonts w:eastAsia="Times New Roman"/>
          <w:color w:val="7030A0"/>
          <w:lang w:val="sq-AL"/>
        </w:rPr>
        <w:tab/>
        <w:t>Lektor i parë/ Doktor</w:t>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t>940 lekë/orë mësimore</w:t>
      </w:r>
    </w:p>
    <w:p w14:paraId="50A90953" w14:textId="77777777" w:rsidR="00062FD1" w:rsidRPr="00062FD1" w:rsidRDefault="00062FD1" w:rsidP="00062FD1">
      <w:pPr>
        <w:spacing w:line="360" w:lineRule="auto"/>
        <w:ind w:left="547" w:firstLine="86"/>
        <w:contextualSpacing/>
        <w:jc w:val="both"/>
        <w:rPr>
          <w:rFonts w:eastAsia="Times New Roman"/>
          <w:color w:val="7030A0"/>
          <w:lang w:val="sq-AL"/>
        </w:rPr>
      </w:pPr>
      <w:r w:rsidRPr="00062FD1">
        <w:rPr>
          <w:rFonts w:eastAsia="Times New Roman"/>
          <w:color w:val="7030A0"/>
          <w:lang w:val="sq-AL"/>
        </w:rPr>
        <w:t>•</w:t>
      </w:r>
      <w:r w:rsidRPr="00062FD1">
        <w:rPr>
          <w:rFonts w:eastAsia="Times New Roman"/>
          <w:color w:val="7030A0"/>
          <w:lang w:val="sq-AL"/>
        </w:rPr>
        <w:tab/>
        <w:t>Master i Nivelit të Dytë/Magjistraturë etj.</w:t>
      </w:r>
      <w:r w:rsidRPr="00062FD1">
        <w:rPr>
          <w:rFonts w:eastAsia="Times New Roman"/>
          <w:color w:val="7030A0"/>
          <w:lang w:val="sq-AL"/>
        </w:rPr>
        <w:tab/>
      </w:r>
      <w:r w:rsidRPr="00062FD1">
        <w:rPr>
          <w:rFonts w:eastAsia="Times New Roman"/>
          <w:color w:val="7030A0"/>
          <w:lang w:val="sq-AL"/>
        </w:rPr>
        <w:tab/>
      </w:r>
      <w:r w:rsidRPr="00062FD1">
        <w:rPr>
          <w:rFonts w:eastAsia="Times New Roman"/>
          <w:color w:val="7030A0"/>
          <w:lang w:val="sq-AL"/>
        </w:rPr>
        <w:tab/>
        <w:t>705 lekë/orë mësimore</w:t>
      </w:r>
    </w:p>
    <w:p w14:paraId="7FD7967B" w14:textId="77777777" w:rsidR="00062FD1" w:rsidRPr="00062FD1" w:rsidRDefault="00062FD1" w:rsidP="00062FD1">
      <w:pPr>
        <w:ind w:left="540" w:firstLine="90"/>
        <w:contextualSpacing/>
        <w:jc w:val="both"/>
        <w:rPr>
          <w:rFonts w:eastAsia="Times New Roman"/>
          <w:color w:val="0000CC"/>
          <w:lang w:val="sq-AL"/>
        </w:rPr>
      </w:pPr>
    </w:p>
    <w:p w14:paraId="0CB4EB04" w14:textId="77777777" w:rsidR="00062FD1" w:rsidRPr="00062FD1" w:rsidRDefault="00062FD1" w:rsidP="00062FD1">
      <w:pPr>
        <w:numPr>
          <w:ilvl w:val="0"/>
          <w:numId w:val="1"/>
        </w:numPr>
        <w:spacing w:after="200" w:line="276" w:lineRule="auto"/>
        <w:contextualSpacing/>
        <w:jc w:val="both"/>
        <w:rPr>
          <w:rFonts w:eastAsia="Times New Roman"/>
          <w:color w:val="0000CC"/>
          <w:lang w:val="sq-AL"/>
        </w:rPr>
      </w:pPr>
      <w:r w:rsidRPr="00062FD1">
        <w:rPr>
          <w:rFonts w:eastAsia="Times New Roman"/>
          <w:color w:val="0000CC"/>
          <w:lang w:val="sq-AL"/>
        </w:rPr>
        <w:t xml:space="preserve">Punonjësit e specialiteteve të ndryshme, të punësuar në institucione të tjera shtetërore, me kohë të plotë, por që japin mësim në Programin e Formimit Fillestar ose janë trajnerë/ekspertë/specialistë/lehtësues/moderatorë për Programin e Formimit Vazhdues në </w:t>
      </w:r>
      <w:r w:rsidRPr="00062FD1">
        <w:rPr>
          <w:rFonts w:eastAsia="Times New Roman"/>
          <w:color w:val="0000CC"/>
          <w:lang w:val="sq-AL"/>
        </w:rPr>
        <w:lastRenderedPageBreak/>
        <w:t xml:space="preserve">Shkollën e Magjistraturës, për çdo orë mësimore do të trajtohen financiarisht, sipas pikës 14 të këtij vendimi. </w:t>
      </w:r>
    </w:p>
    <w:p w14:paraId="13A8B586" w14:textId="77777777" w:rsidR="00062FD1" w:rsidRPr="00062FD1" w:rsidRDefault="00062FD1" w:rsidP="00062FD1">
      <w:pPr>
        <w:contextualSpacing/>
        <w:jc w:val="both"/>
        <w:rPr>
          <w:rFonts w:eastAsia="Times New Roman"/>
          <w:color w:val="0000CC"/>
          <w:lang w:val="sq-AL"/>
        </w:rPr>
      </w:pPr>
    </w:p>
    <w:p w14:paraId="4A488A94" w14:textId="668ACC5D" w:rsidR="00062FD1" w:rsidRPr="00062FD1" w:rsidRDefault="00062FD1" w:rsidP="00062FD1">
      <w:pPr>
        <w:numPr>
          <w:ilvl w:val="0"/>
          <w:numId w:val="1"/>
        </w:numPr>
        <w:spacing w:after="200" w:line="276" w:lineRule="auto"/>
        <w:jc w:val="both"/>
        <w:rPr>
          <w:rFonts w:eastAsia="Times New Roman"/>
          <w:color w:val="0000CC"/>
          <w:lang w:val="sq-AL" w:eastAsia="en-GB"/>
        </w:rPr>
      </w:pPr>
      <w:r w:rsidRPr="00062FD1">
        <w:rPr>
          <w:rFonts w:eastAsia="Times New Roman"/>
          <w:color w:val="7030A0"/>
          <w:lang w:val="sq-AL"/>
        </w:rPr>
        <w:t>Udhëheqja dhe vlerësimi i memove</w:t>
      </w:r>
      <w:r w:rsidRPr="00062FD1">
        <w:rPr>
          <w:rFonts w:eastAsia="Times New Roman"/>
          <w:color w:val="0000CC"/>
          <w:lang w:val="sq-AL" w:eastAsia="en-GB"/>
        </w:rPr>
        <w:t xml:space="preserve"> autorët e tezave të provimit, anëtarët e komisionit të provimit përfundimtar të vitit të dytë si dhe lehtësuesit dhe moderatorët e sesioneve trajnuese përcaktohen me urdhër të Drejtorit të Shkollës së Magjistraturës.</w:t>
      </w:r>
    </w:p>
    <w:p w14:paraId="5BF932BF" w14:textId="77777777" w:rsidR="00062FD1" w:rsidRPr="00062FD1" w:rsidRDefault="00062FD1" w:rsidP="00062FD1">
      <w:pPr>
        <w:ind w:left="720"/>
        <w:jc w:val="both"/>
        <w:rPr>
          <w:rFonts w:eastAsia="Times New Roman"/>
          <w:color w:val="0000CC"/>
          <w:lang w:val="sq-AL" w:eastAsia="en-GB"/>
        </w:rPr>
      </w:pPr>
    </w:p>
    <w:p w14:paraId="021CA135" w14:textId="77777777" w:rsidR="00062FD1" w:rsidRPr="00062FD1" w:rsidRDefault="00062FD1" w:rsidP="00062FD1">
      <w:pPr>
        <w:numPr>
          <w:ilvl w:val="0"/>
          <w:numId w:val="1"/>
        </w:numPr>
        <w:spacing w:after="200" w:line="276" w:lineRule="auto"/>
        <w:jc w:val="both"/>
        <w:rPr>
          <w:rFonts w:eastAsia="Times New Roman"/>
          <w:color w:val="0000CC"/>
          <w:lang w:val="sq-AL" w:eastAsia="en-GB"/>
        </w:rPr>
      </w:pPr>
      <w:r w:rsidRPr="00062FD1">
        <w:rPr>
          <w:rFonts w:eastAsia="Times New Roman"/>
          <w:color w:val="0000CC"/>
          <w:lang w:val="sq-AL" w:eastAsia="en-GB"/>
        </w:rPr>
        <w:t>Anëtarët e komisioneve të provimit të pranimit, pedagogët e jashtëm dhe trajnerët/ekspertët/specialistët e Formimit Vazhdues, anëtarët e komisioni të testimit të shëndetit mendor dhe psikologjik ne vitin e tretë,</w:t>
      </w:r>
      <w:r w:rsidRPr="00062FD1">
        <w:rPr>
          <w:rFonts w:eastAsia="Calibri"/>
          <w:i/>
          <w:lang w:val="sq-AL"/>
        </w:rPr>
        <w:t xml:space="preserve"> </w:t>
      </w:r>
      <w:r w:rsidRPr="00062FD1">
        <w:rPr>
          <w:rFonts w:eastAsia="Calibri"/>
          <w:color w:val="FF0000"/>
          <w:lang w:val="sq-AL"/>
        </w:rPr>
        <w:t xml:space="preserve">anëtarët e komisionit të provimit të vitit të dytë“ </w:t>
      </w:r>
      <w:r w:rsidRPr="00062FD1">
        <w:rPr>
          <w:rFonts w:eastAsia="Times New Roman"/>
          <w:color w:val="FF0000"/>
          <w:lang w:val="sq-AL" w:eastAsia="en-GB"/>
        </w:rPr>
        <w:t xml:space="preserve"> </w:t>
      </w:r>
      <w:r w:rsidRPr="00062FD1">
        <w:rPr>
          <w:rFonts w:eastAsia="Times New Roman"/>
          <w:color w:val="0000CC"/>
          <w:lang w:val="sq-AL" w:eastAsia="en-GB"/>
        </w:rPr>
        <w:t>përcaktohen me vendim të Këshillit Drejtues.</w:t>
      </w:r>
    </w:p>
    <w:p w14:paraId="1F611D3C" w14:textId="77777777" w:rsidR="00062FD1" w:rsidRPr="00062FD1" w:rsidRDefault="00062FD1" w:rsidP="00062FD1">
      <w:pPr>
        <w:jc w:val="both"/>
        <w:rPr>
          <w:rFonts w:eastAsia="Times New Roman"/>
          <w:color w:val="0000CC"/>
          <w:lang w:val="sq-AL" w:eastAsia="en-GB"/>
        </w:rPr>
      </w:pPr>
    </w:p>
    <w:p w14:paraId="6BAB5C5D" w14:textId="77777777" w:rsidR="00062FD1" w:rsidRPr="00062FD1" w:rsidRDefault="00062FD1" w:rsidP="00062FD1">
      <w:pPr>
        <w:numPr>
          <w:ilvl w:val="0"/>
          <w:numId w:val="1"/>
        </w:numPr>
        <w:spacing w:after="200" w:line="276" w:lineRule="auto"/>
        <w:jc w:val="both"/>
        <w:rPr>
          <w:rFonts w:eastAsia="Times New Roman"/>
          <w:color w:val="0000CC"/>
          <w:lang w:val="sq-AL" w:eastAsia="en-GB"/>
        </w:rPr>
      </w:pPr>
      <w:r w:rsidRPr="00062FD1">
        <w:rPr>
          <w:rFonts w:eastAsia="Times New Roman"/>
          <w:color w:val="0000CC"/>
          <w:lang w:val="sq-AL" w:eastAsia="en-GB"/>
        </w:rPr>
        <w:t>Elementet e veprimtarive për përgatitjen dhe mbështetjen e procesit të formimit profesional në kuadrin e Formimit Fillestar dhe Vazhdues do të shpërblehen sipas Lidhjes nr. 1 bashkëlidhur këtij vendimi.</w:t>
      </w:r>
    </w:p>
    <w:p w14:paraId="28035D43" w14:textId="77777777" w:rsidR="00062FD1" w:rsidRPr="00062FD1" w:rsidRDefault="00062FD1" w:rsidP="00062FD1">
      <w:pPr>
        <w:ind w:left="709" w:hanging="283"/>
        <w:jc w:val="both"/>
        <w:rPr>
          <w:rFonts w:eastAsia="Times New Roman"/>
          <w:color w:val="0000CC"/>
          <w:lang w:val="sq-AL" w:eastAsia="en-GB"/>
        </w:rPr>
      </w:pPr>
    </w:p>
    <w:p w14:paraId="241DA863" w14:textId="77777777" w:rsidR="00062FD1" w:rsidRPr="00062FD1" w:rsidRDefault="00062FD1" w:rsidP="00062FD1">
      <w:pPr>
        <w:numPr>
          <w:ilvl w:val="0"/>
          <w:numId w:val="1"/>
        </w:numPr>
        <w:spacing w:after="200" w:line="276" w:lineRule="auto"/>
        <w:contextualSpacing/>
        <w:jc w:val="both"/>
        <w:rPr>
          <w:rFonts w:eastAsia="Times New Roman"/>
          <w:color w:val="000000"/>
          <w:highlight w:val="yellow"/>
          <w:lang w:val="sq-AL" w:eastAsia="en-GB"/>
        </w:rPr>
      </w:pPr>
      <w:r w:rsidRPr="00062FD1">
        <w:rPr>
          <w:rFonts w:eastAsia="Times New Roman"/>
          <w:color w:val="0000CC"/>
          <w:lang w:val="sq-AL" w:eastAsia="en-GB"/>
        </w:rPr>
        <w:t xml:space="preserve">Trajnerët/ekspertët/specialistët e Formimit Vazhdues do të shpërblehen për 4 orë përgatitje dhe 6 orë pjesëmarrje në aktivitet </w:t>
      </w:r>
      <w:r w:rsidRPr="00062FD1">
        <w:rPr>
          <w:rFonts w:eastAsia="Times New Roman"/>
          <w:color w:val="FF0000"/>
          <w:lang w:val="sq-AL" w:eastAsia="en-GB"/>
        </w:rPr>
        <w:t xml:space="preserve">1 ditor (në auditor) dhe për 6 orë përgatitje dhe 4 orë pjesëmarrje në aktivitet 1 ditor (on line). </w:t>
      </w:r>
      <w:r w:rsidRPr="00062FD1">
        <w:rPr>
          <w:rFonts w:eastAsia="Times New Roman"/>
          <w:color w:val="0000CC"/>
          <w:lang w:val="sq-AL" w:eastAsia="en-GB"/>
        </w:rPr>
        <w:t xml:space="preserve">Lehtësuesit e Formimit Vazhdues do të shpërblehen për 2 orë përgatitje dhe 3 orë pjesëmarrje në aktivitet. Moderatorët do të shpërblehen 3 orë pjesëmarrje në aktivitet. </w:t>
      </w:r>
      <w:r w:rsidRPr="00062FD1">
        <w:rPr>
          <w:rFonts w:eastAsia="Times New Roman"/>
          <w:color w:val="FF0000"/>
          <w:lang w:val="sq-AL" w:eastAsia="en-GB"/>
        </w:rPr>
        <w:t>Në rastet e zhvillimit të këtyre aktiviteteve me sesione trajnuese, koha e pjesëmarrjes përgjysmohet</w:t>
      </w:r>
      <w:r w:rsidRPr="00062FD1">
        <w:rPr>
          <w:rFonts w:eastAsia="Times New Roman"/>
          <w:color w:val="F79646"/>
          <w:lang w:val="sq-AL" w:eastAsia="en-GB"/>
        </w:rPr>
        <w:t>.</w:t>
      </w:r>
      <w:r w:rsidRPr="00062FD1">
        <w:rPr>
          <w:rFonts w:eastAsia="Times New Roman"/>
          <w:color w:val="0000CC"/>
          <w:lang w:val="sq-AL" w:eastAsia="en-GB"/>
        </w:rPr>
        <w:t xml:space="preserve"> Në rastet e përsëritjes së të njëjtës temë do të shpërblehen vetëm për pjesëmarrje në aktivitet/</w:t>
      </w:r>
      <w:r w:rsidRPr="00062FD1">
        <w:rPr>
          <w:rFonts w:eastAsia="Times New Roman"/>
          <w:color w:val="FF0000"/>
          <w:lang w:val="sq-AL" w:eastAsia="en-GB"/>
        </w:rPr>
        <w:t>sesion</w:t>
      </w:r>
      <w:r w:rsidRPr="00062FD1">
        <w:rPr>
          <w:rFonts w:eastAsia="Times New Roman"/>
          <w:color w:val="FF0000"/>
          <w:highlight w:val="yellow"/>
          <w:lang w:val="sq-AL" w:eastAsia="en-GB"/>
        </w:rPr>
        <w:t>.</w:t>
      </w:r>
    </w:p>
    <w:p w14:paraId="20D197A9" w14:textId="77777777" w:rsidR="00062FD1" w:rsidRPr="00062FD1" w:rsidRDefault="00062FD1" w:rsidP="00062FD1">
      <w:pPr>
        <w:ind w:left="720"/>
        <w:contextualSpacing/>
        <w:jc w:val="both"/>
        <w:rPr>
          <w:rFonts w:eastAsia="Times New Roman"/>
          <w:color w:val="0000CC"/>
          <w:lang w:val="sq-AL"/>
        </w:rPr>
      </w:pPr>
    </w:p>
    <w:p w14:paraId="23B402FE" w14:textId="77777777" w:rsidR="00062FD1" w:rsidRPr="00062FD1" w:rsidRDefault="00062FD1" w:rsidP="00062FD1">
      <w:pPr>
        <w:numPr>
          <w:ilvl w:val="0"/>
          <w:numId w:val="1"/>
        </w:numPr>
        <w:spacing w:before="100" w:beforeAutospacing="1" w:after="100" w:afterAutospacing="1" w:line="276" w:lineRule="auto"/>
        <w:contextualSpacing/>
        <w:jc w:val="both"/>
        <w:rPr>
          <w:rFonts w:eastAsia="Times New Roman"/>
          <w:color w:val="0000CC"/>
          <w:lang w:val="sq-AL" w:eastAsia="en-GB"/>
        </w:rPr>
      </w:pPr>
      <w:r w:rsidRPr="00062FD1">
        <w:rPr>
          <w:rFonts w:eastAsia="Times New Roman"/>
          <w:color w:val="0000CC"/>
          <w:lang w:val="sq-AL"/>
        </w:rPr>
        <w:t>Lejohet të aktivizohen, si trajnerë/ekspertë, lektorë, akademikë dhe profesorë të huaj, të cilët do të paguhen me honorare për orë pjesëmarrjeje në procesin e mësimdhënies në Shkollën e Magjistraturës, në Programin e Formimit Fillestar dhe atij Vazhdues. Masa e pagesës nuk duhet të jetë më e madhe se 5-fishi i pagesës për orët mbi normë, për kategorinë “profesor” dhe jo më shumë se 50 orë mësimore në vit. Ekspertëve dhe lektorëve të huaj u mbulohen shpenzimet e udhëtimit dhe të qëndrimit në Republikën e Shqipërisë, për jo më shumë se 5 ditë. Efektet financiare, që rrjedhin nga zbatimi i këtyre pagesave, përballohen nga fondet e parashikuara për mësimdhënie në Shkollën e Magjistraturës.</w:t>
      </w:r>
    </w:p>
    <w:p w14:paraId="4BE38085" w14:textId="77777777" w:rsidR="00062FD1" w:rsidRPr="00062FD1" w:rsidRDefault="00062FD1" w:rsidP="00062FD1">
      <w:pPr>
        <w:spacing w:before="100" w:beforeAutospacing="1" w:after="100" w:afterAutospacing="1"/>
        <w:ind w:left="720"/>
        <w:jc w:val="both"/>
        <w:rPr>
          <w:rFonts w:eastAsia="Calibri"/>
          <w:color w:val="FF0000"/>
          <w:lang w:val="sq-AL" w:eastAsia="x-none"/>
        </w:rPr>
      </w:pPr>
      <w:r w:rsidRPr="00062FD1">
        <w:rPr>
          <w:rFonts w:eastAsia="Calibri"/>
          <w:lang w:val="sq-AL" w:eastAsia="x-none"/>
        </w:rPr>
        <w:t xml:space="preserve">20/1. </w:t>
      </w:r>
      <w:r w:rsidRPr="00062FD1">
        <w:rPr>
          <w:rFonts w:eastAsia="Calibri"/>
          <w:color w:val="FF0000"/>
          <w:lang w:val="sq-AL" w:eastAsia="x-none"/>
        </w:rPr>
        <w:t>Lejohen të aktivizohen si përkthyes të artikujve shkencor në gjuhë të huaj, për botim në Shkollën e Mgjistraturës, profesionist të së drejtës, të cilët disponojnë një diplomë të kësaj gjuhe të lëshuar nga Fakultetit i Gjuhëve të Huaja, Universiteti i Tiranës, ose kanë përfunduar studimet dhe janë diplomuar në gjuhë të huaj jashtë vendit.</w:t>
      </w:r>
    </w:p>
    <w:p w14:paraId="71C65BA2" w14:textId="77777777" w:rsidR="00062FD1" w:rsidRPr="00062FD1" w:rsidRDefault="00062FD1" w:rsidP="00062FD1">
      <w:pPr>
        <w:numPr>
          <w:ilvl w:val="0"/>
          <w:numId w:val="1"/>
        </w:numPr>
        <w:spacing w:before="100" w:beforeAutospacing="1" w:after="100" w:afterAutospacing="1" w:line="276" w:lineRule="auto"/>
        <w:contextualSpacing/>
        <w:jc w:val="both"/>
        <w:rPr>
          <w:rFonts w:eastAsia="Times New Roman"/>
          <w:color w:val="0000CC"/>
          <w:lang w:val="sq-AL" w:eastAsia="en-GB"/>
        </w:rPr>
      </w:pPr>
      <w:r w:rsidRPr="00062FD1">
        <w:rPr>
          <w:rFonts w:eastAsia="Times New Roman"/>
          <w:color w:val="0000CC"/>
          <w:lang w:val="sq-AL"/>
        </w:rPr>
        <w:t xml:space="preserve"> Kandidatët për magjistratë të Shkollës së Magjistraturës dhe ndihmësit/këshilltarët ligjorë të cilët ndjekin të njëjtin Program të Formimit Fillestar të trajtuar me bursë/shpërblim të </w:t>
      </w:r>
      <w:r w:rsidRPr="00062FD1">
        <w:rPr>
          <w:rFonts w:eastAsia="Times New Roman"/>
          <w:color w:val="0000CC"/>
          <w:lang w:val="sq-AL"/>
        </w:rPr>
        <w:lastRenderedPageBreak/>
        <w:t>financuar nga Buxheti i Shtetit, përfitojnë dieta për udhëtim jashtë vendit, në masën 25 euro/ditë, për realizimin e një vizite studimore në Gjykatën e Strasburgut ose në një gjykatë tjetër të Bashkimit Evropian. Në raste kur realizimi i vizitës përballohet nga donatorët ose pala pritëse, shpenzimet për dieta nuk përballohen nga fondet e planifikuara për Shkollën e Magjistraturës.</w:t>
      </w:r>
    </w:p>
    <w:p w14:paraId="61B65694" w14:textId="77777777" w:rsidR="00062FD1" w:rsidRPr="00062FD1" w:rsidRDefault="00062FD1" w:rsidP="00062FD1">
      <w:pPr>
        <w:ind w:left="720"/>
        <w:contextualSpacing/>
        <w:jc w:val="both"/>
        <w:rPr>
          <w:rFonts w:eastAsia="Times New Roman"/>
          <w:color w:val="0000CC"/>
          <w:lang w:val="sq-AL"/>
        </w:rPr>
      </w:pPr>
    </w:p>
    <w:p w14:paraId="2B244801" w14:textId="77777777" w:rsidR="00062FD1" w:rsidRPr="00062FD1" w:rsidRDefault="00062FD1" w:rsidP="00062FD1">
      <w:pPr>
        <w:numPr>
          <w:ilvl w:val="0"/>
          <w:numId w:val="1"/>
        </w:numPr>
        <w:spacing w:before="100" w:beforeAutospacing="1" w:after="100" w:afterAutospacing="1" w:line="276" w:lineRule="auto"/>
        <w:contextualSpacing/>
        <w:jc w:val="both"/>
        <w:rPr>
          <w:rFonts w:eastAsia="Times New Roman"/>
          <w:color w:val="0000CC"/>
          <w:lang w:val="sq-AL" w:eastAsia="en-GB"/>
        </w:rPr>
      </w:pPr>
      <w:r w:rsidRPr="00062FD1">
        <w:rPr>
          <w:rFonts w:eastAsia="Times New Roman"/>
          <w:color w:val="0000CC"/>
          <w:lang w:val="sq-AL"/>
        </w:rPr>
        <w:t>Për vizitën studimore jashtë vendit, do të paguhen edhe shpenzimet e transportit, vajtje jashtë shtetit e kthim, shpenzimet e transportit nga aeroporti në destinacion e anasjellas, si dhe shpenzimet e fjetjes. Për çdo rast, këto shpenzime njihen si të tilla sipas dokumentit përkatës (faturës, biletës etj.)</w:t>
      </w:r>
    </w:p>
    <w:p w14:paraId="29EB18D8" w14:textId="77777777" w:rsidR="00062FD1" w:rsidRPr="00062FD1" w:rsidRDefault="00062FD1" w:rsidP="00062FD1">
      <w:pPr>
        <w:contextualSpacing/>
        <w:jc w:val="both"/>
        <w:rPr>
          <w:rFonts w:eastAsia="Times New Roman"/>
          <w:color w:val="0000CC"/>
          <w:lang w:val="sq-AL"/>
        </w:rPr>
      </w:pPr>
    </w:p>
    <w:p w14:paraId="3B24DF13" w14:textId="77777777" w:rsidR="00062FD1" w:rsidRPr="00062FD1" w:rsidRDefault="00062FD1" w:rsidP="00062FD1">
      <w:pPr>
        <w:numPr>
          <w:ilvl w:val="0"/>
          <w:numId w:val="1"/>
        </w:numPr>
        <w:spacing w:before="100" w:beforeAutospacing="1" w:after="100" w:afterAutospacing="1" w:line="276" w:lineRule="auto"/>
        <w:contextualSpacing/>
        <w:jc w:val="both"/>
        <w:rPr>
          <w:rFonts w:eastAsia="Times New Roman"/>
          <w:color w:val="0000CC"/>
          <w:lang w:val="sq-AL" w:eastAsia="en-GB"/>
        </w:rPr>
      </w:pPr>
      <w:r w:rsidRPr="00062FD1">
        <w:rPr>
          <w:rFonts w:eastAsia="Times New Roman"/>
          <w:color w:val="0000CC"/>
          <w:lang w:val="sq-AL"/>
        </w:rPr>
        <w:t xml:space="preserve">Ky vendim hyn në fuqi menjëherë dhe efektet financiare të tij do të fillojnë nga data 1 janar 2017. Ky vendim do të jetë pjesë e përbërëse e Rregullores së Shkollës së Magjistraturës. </w:t>
      </w:r>
    </w:p>
    <w:p w14:paraId="108EB61F" w14:textId="77777777" w:rsidR="00062FD1" w:rsidRPr="00062FD1" w:rsidRDefault="00062FD1" w:rsidP="00062FD1">
      <w:pPr>
        <w:ind w:left="720"/>
        <w:contextualSpacing/>
        <w:jc w:val="both"/>
        <w:rPr>
          <w:rFonts w:eastAsia="Times New Roman"/>
          <w:color w:val="0000CC"/>
          <w:lang w:val="sq-AL" w:eastAsia="en-GB"/>
        </w:rPr>
      </w:pPr>
    </w:p>
    <w:p w14:paraId="4DED6B0C" w14:textId="77777777" w:rsidR="00062FD1" w:rsidRPr="00062FD1" w:rsidRDefault="00062FD1" w:rsidP="00062FD1">
      <w:pPr>
        <w:ind w:left="720"/>
        <w:contextualSpacing/>
        <w:jc w:val="both"/>
        <w:rPr>
          <w:rFonts w:eastAsia="Times New Roman"/>
          <w:color w:val="0000CC"/>
          <w:lang w:val="sq-AL" w:eastAsia="en-GB"/>
        </w:rPr>
      </w:pPr>
    </w:p>
    <w:p w14:paraId="28309682" w14:textId="77777777" w:rsidR="00062FD1" w:rsidRPr="00062FD1" w:rsidRDefault="00062FD1" w:rsidP="00062FD1">
      <w:pPr>
        <w:jc w:val="center"/>
        <w:rPr>
          <w:b/>
          <w:color w:val="0000CC"/>
          <w:lang w:val="sq-AL"/>
        </w:rPr>
      </w:pPr>
      <w:r w:rsidRPr="00062FD1">
        <w:rPr>
          <w:b/>
          <w:color w:val="0000CC"/>
          <w:lang w:val="sq-AL"/>
        </w:rPr>
        <w:t>K R Y E T A R I</w:t>
      </w:r>
    </w:p>
    <w:p w14:paraId="6B0AC953" w14:textId="77777777" w:rsidR="00062FD1" w:rsidRPr="00062FD1" w:rsidRDefault="00062FD1" w:rsidP="00062FD1">
      <w:pPr>
        <w:jc w:val="center"/>
        <w:rPr>
          <w:b/>
          <w:color w:val="0000CC"/>
          <w:lang w:val="sq-AL"/>
        </w:rPr>
      </w:pPr>
    </w:p>
    <w:p w14:paraId="17DA55AA" w14:textId="77777777" w:rsidR="00062FD1" w:rsidRPr="00062FD1" w:rsidRDefault="00062FD1" w:rsidP="00062FD1">
      <w:pPr>
        <w:jc w:val="center"/>
        <w:rPr>
          <w:b/>
          <w:color w:val="0000CC"/>
          <w:lang w:val="sq-AL"/>
        </w:rPr>
      </w:pPr>
      <w:r w:rsidRPr="00062FD1">
        <w:rPr>
          <w:b/>
          <w:color w:val="0000CC"/>
          <w:lang w:val="sq-AL"/>
        </w:rPr>
        <w:t>XHEZAIR ZAGANJORI</w:t>
      </w:r>
    </w:p>
    <w:p w14:paraId="2E150C70" w14:textId="77777777" w:rsidR="00062FD1" w:rsidRPr="00062FD1" w:rsidRDefault="00062FD1" w:rsidP="00062FD1">
      <w:pPr>
        <w:ind w:left="4320" w:firstLine="720"/>
        <w:jc w:val="both"/>
        <w:rPr>
          <w:b/>
          <w:color w:val="0000CC"/>
          <w:lang w:val="sq-AL"/>
        </w:rPr>
      </w:pPr>
    </w:p>
    <w:p w14:paraId="788AE892" w14:textId="77777777" w:rsidR="00062FD1" w:rsidRPr="00062FD1" w:rsidRDefault="00062FD1" w:rsidP="00062FD1">
      <w:pPr>
        <w:jc w:val="both"/>
        <w:rPr>
          <w:b/>
          <w:color w:val="0000CC"/>
          <w:lang w:val="sq-AL"/>
        </w:rPr>
      </w:pPr>
    </w:p>
    <w:p w14:paraId="0409189C" w14:textId="77777777" w:rsidR="00062FD1" w:rsidRPr="00062FD1" w:rsidRDefault="00062FD1" w:rsidP="00062FD1">
      <w:pPr>
        <w:jc w:val="both"/>
        <w:rPr>
          <w:b/>
          <w:color w:val="0000CC"/>
          <w:lang w:val="sq-AL"/>
        </w:rPr>
      </w:pPr>
    </w:p>
    <w:p w14:paraId="6C01DDFA" w14:textId="77777777" w:rsidR="00062FD1" w:rsidRPr="00062FD1" w:rsidRDefault="00062FD1" w:rsidP="00062FD1">
      <w:pPr>
        <w:jc w:val="both"/>
        <w:rPr>
          <w:b/>
          <w:color w:val="0000CC"/>
          <w:lang w:val="sq-AL"/>
        </w:rPr>
      </w:pPr>
    </w:p>
    <w:p w14:paraId="1EADC0B3" w14:textId="77777777" w:rsidR="00062FD1" w:rsidRPr="00062FD1" w:rsidRDefault="00062FD1" w:rsidP="00062FD1">
      <w:pPr>
        <w:jc w:val="both"/>
        <w:rPr>
          <w:b/>
          <w:color w:val="0000CC"/>
          <w:lang w:val="sq-AL"/>
        </w:rPr>
      </w:pPr>
      <w:r w:rsidRPr="00062FD1">
        <w:rPr>
          <w:b/>
          <w:color w:val="0000CC"/>
          <w:lang w:val="sq-AL"/>
        </w:rPr>
        <w:t xml:space="preserve">Lidhja nr.1 </w:t>
      </w:r>
    </w:p>
    <w:p w14:paraId="0AC656B1" w14:textId="77777777" w:rsidR="00062FD1" w:rsidRPr="00062FD1" w:rsidRDefault="00062FD1" w:rsidP="00062FD1">
      <w:pPr>
        <w:jc w:val="both"/>
        <w:rPr>
          <w:b/>
          <w:color w:val="0000CC"/>
          <w:lang w:val="sq-AL"/>
        </w:rPr>
      </w:pPr>
      <w:r w:rsidRPr="00062FD1">
        <w:rPr>
          <w:b/>
          <w:color w:val="0000CC"/>
          <w:lang w:val="sq-AL"/>
        </w:rPr>
        <w:t>Konvertimi i elementeve për përgatitjen dhe mbështetjen e procesit të formimit profesional në kuadrin e Formimit Fillestar dhe Vazhdues</w:t>
      </w:r>
    </w:p>
    <w:p w14:paraId="75F87899" w14:textId="77777777" w:rsidR="00062FD1" w:rsidRPr="00062FD1" w:rsidRDefault="00062FD1" w:rsidP="00062FD1">
      <w:pPr>
        <w:jc w:val="both"/>
        <w:rPr>
          <w:b/>
          <w:color w:val="0000CC"/>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406"/>
        <w:gridCol w:w="3139"/>
      </w:tblGrid>
      <w:tr w:rsidR="00062FD1" w:rsidRPr="00062FD1" w14:paraId="23EED41D" w14:textId="77777777" w:rsidTr="00D61F18">
        <w:tc>
          <w:tcPr>
            <w:tcW w:w="805" w:type="dxa"/>
            <w:shd w:val="clear" w:color="auto" w:fill="D9D9D9"/>
          </w:tcPr>
          <w:p w14:paraId="58377D8B" w14:textId="77777777" w:rsidR="00062FD1" w:rsidRPr="00062FD1" w:rsidRDefault="00062FD1" w:rsidP="00062FD1">
            <w:pPr>
              <w:jc w:val="both"/>
              <w:rPr>
                <w:b/>
                <w:color w:val="0000CC"/>
                <w:lang w:val="sq-AL"/>
              </w:rPr>
            </w:pPr>
            <w:r w:rsidRPr="00062FD1">
              <w:rPr>
                <w:b/>
                <w:color w:val="0000CC"/>
                <w:lang w:val="sq-AL"/>
              </w:rPr>
              <w:t>Nr.</w:t>
            </w:r>
          </w:p>
        </w:tc>
        <w:tc>
          <w:tcPr>
            <w:tcW w:w="5406" w:type="dxa"/>
            <w:shd w:val="clear" w:color="auto" w:fill="D9D9D9"/>
          </w:tcPr>
          <w:p w14:paraId="63D80FFE" w14:textId="77777777" w:rsidR="00062FD1" w:rsidRPr="00062FD1" w:rsidRDefault="00062FD1" w:rsidP="00062FD1">
            <w:pPr>
              <w:jc w:val="both"/>
              <w:rPr>
                <w:b/>
                <w:color w:val="0000CC"/>
                <w:lang w:val="sq-AL"/>
              </w:rPr>
            </w:pPr>
            <w:r w:rsidRPr="00062FD1">
              <w:rPr>
                <w:b/>
                <w:color w:val="0000CC"/>
                <w:lang w:val="sq-AL"/>
              </w:rPr>
              <w:t>Elementet</w:t>
            </w:r>
          </w:p>
        </w:tc>
        <w:tc>
          <w:tcPr>
            <w:tcW w:w="3139" w:type="dxa"/>
            <w:shd w:val="clear" w:color="auto" w:fill="D9D9D9"/>
          </w:tcPr>
          <w:p w14:paraId="72EA5C96" w14:textId="77777777" w:rsidR="00062FD1" w:rsidRPr="00062FD1" w:rsidRDefault="00062FD1" w:rsidP="00062FD1">
            <w:pPr>
              <w:jc w:val="both"/>
              <w:rPr>
                <w:b/>
                <w:color w:val="0000CC"/>
                <w:lang w:val="sq-AL"/>
              </w:rPr>
            </w:pPr>
            <w:r w:rsidRPr="00062FD1">
              <w:rPr>
                <w:b/>
                <w:color w:val="0000CC"/>
                <w:lang w:val="sq-AL"/>
              </w:rPr>
              <w:t>Orë mësimore e konvertuar</w:t>
            </w:r>
          </w:p>
        </w:tc>
      </w:tr>
      <w:tr w:rsidR="00062FD1" w:rsidRPr="00062FD1" w14:paraId="0BEBF0B7" w14:textId="77777777" w:rsidTr="00D61F18">
        <w:tc>
          <w:tcPr>
            <w:tcW w:w="805" w:type="dxa"/>
            <w:shd w:val="clear" w:color="auto" w:fill="auto"/>
          </w:tcPr>
          <w:p w14:paraId="1C4C2C7C" w14:textId="77777777" w:rsidR="00062FD1" w:rsidRPr="00062FD1" w:rsidRDefault="00062FD1" w:rsidP="00062FD1">
            <w:pPr>
              <w:numPr>
                <w:ilvl w:val="0"/>
                <w:numId w:val="8"/>
              </w:numPr>
              <w:spacing w:after="200" w:line="276" w:lineRule="auto"/>
              <w:jc w:val="both"/>
              <w:rPr>
                <w:color w:val="0000CC"/>
                <w:lang w:val="sq-AL"/>
              </w:rPr>
            </w:pPr>
          </w:p>
        </w:tc>
        <w:tc>
          <w:tcPr>
            <w:tcW w:w="5406" w:type="dxa"/>
            <w:shd w:val="clear" w:color="auto" w:fill="auto"/>
          </w:tcPr>
          <w:p w14:paraId="3153639E" w14:textId="77777777" w:rsidR="00062FD1" w:rsidRPr="00062FD1" w:rsidRDefault="00062FD1" w:rsidP="00062FD1">
            <w:pPr>
              <w:jc w:val="both"/>
              <w:rPr>
                <w:b/>
                <w:color w:val="0000CC"/>
                <w:lang w:val="sq-AL"/>
              </w:rPr>
            </w:pPr>
            <w:r w:rsidRPr="00062FD1">
              <w:rPr>
                <w:b/>
                <w:color w:val="0000CC"/>
                <w:lang w:val="sq-AL"/>
              </w:rPr>
              <w:t>Anëtarët e komisioneve të provimit të pranimit në Shkollën e Magjistraturës (neni 266, Ligji 115/2016)</w:t>
            </w:r>
          </w:p>
        </w:tc>
        <w:tc>
          <w:tcPr>
            <w:tcW w:w="3139" w:type="dxa"/>
            <w:shd w:val="clear" w:color="auto" w:fill="auto"/>
          </w:tcPr>
          <w:p w14:paraId="672184AE" w14:textId="77777777" w:rsidR="00062FD1" w:rsidRPr="00062FD1" w:rsidRDefault="00062FD1" w:rsidP="00062FD1">
            <w:pPr>
              <w:jc w:val="both"/>
              <w:rPr>
                <w:color w:val="0000CC"/>
                <w:lang w:val="sq-AL"/>
              </w:rPr>
            </w:pPr>
          </w:p>
        </w:tc>
      </w:tr>
      <w:tr w:rsidR="00062FD1" w:rsidRPr="00062FD1" w14:paraId="0CE8D92D" w14:textId="77777777" w:rsidTr="00D61F18">
        <w:tc>
          <w:tcPr>
            <w:tcW w:w="805" w:type="dxa"/>
            <w:shd w:val="clear" w:color="auto" w:fill="auto"/>
          </w:tcPr>
          <w:p w14:paraId="757E465D" w14:textId="77777777" w:rsidR="00062FD1" w:rsidRPr="00062FD1" w:rsidRDefault="00062FD1" w:rsidP="00062FD1">
            <w:pPr>
              <w:numPr>
                <w:ilvl w:val="0"/>
                <w:numId w:val="7"/>
              </w:numPr>
              <w:spacing w:after="200" w:line="276" w:lineRule="auto"/>
              <w:jc w:val="both"/>
              <w:rPr>
                <w:color w:val="0000CC"/>
                <w:lang w:val="sq-AL"/>
              </w:rPr>
            </w:pPr>
          </w:p>
        </w:tc>
        <w:tc>
          <w:tcPr>
            <w:tcW w:w="5406" w:type="dxa"/>
            <w:shd w:val="clear" w:color="auto" w:fill="auto"/>
          </w:tcPr>
          <w:p w14:paraId="085E4C3C" w14:textId="77777777" w:rsidR="00062FD1" w:rsidRPr="00062FD1" w:rsidRDefault="00062FD1" w:rsidP="00062FD1">
            <w:pPr>
              <w:jc w:val="both"/>
              <w:rPr>
                <w:color w:val="0000CC"/>
                <w:lang w:val="sq-AL"/>
              </w:rPr>
            </w:pPr>
            <w:r w:rsidRPr="00062FD1">
              <w:rPr>
                <w:color w:val="0000CC"/>
                <w:lang w:val="sq-AL"/>
              </w:rPr>
              <w:t>Hartimi i tezave të provimit të pranimit për fazën e parë (scan tron).</w:t>
            </w:r>
          </w:p>
        </w:tc>
        <w:tc>
          <w:tcPr>
            <w:tcW w:w="3139" w:type="dxa"/>
            <w:shd w:val="clear" w:color="auto" w:fill="auto"/>
          </w:tcPr>
          <w:p w14:paraId="249F4362" w14:textId="77777777" w:rsidR="00062FD1" w:rsidRPr="00062FD1" w:rsidRDefault="00062FD1" w:rsidP="00062FD1">
            <w:pPr>
              <w:jc w:val="both"/>
              <w:rPr>
                <w:color w:val="0000CC"/>
                <w:lang w:val="sq-AL"/>
              </w:rPr>
            </w:pPr>
            <w:r w:rsidRPr="00062FD1">
              <w:rPr>
                <w:color w:val="0000CC"/>
                <w:lang w:val="sq-AL"/>
              </w:rPr>
              <w:t>1 500 (një mijë e pesëqind) lekë/tezë</w:t>
            </w:r>
          </w:p>
        </w:tc>
      </w:tr>
      <w:tr w:rsidR="00062FD1" w:rsidRPr="00062FD1" w14:paraId="386F6729" w14:textId="77777777" w:rsidTr="00D61F18">
        <w:tc>
          <w:tcPr>
            <w:tcW w:w="805" w:type="dxa"/>
            <w:shd w:val="clear" w:color="auto" w:fill="auto"/>
          </w:tcPr>
          <w:p w14:paraId="5BE04D44" w14:textId="77777777" w:rsidR="00062FD1" w:rsidRPr="00062FD1" w:rsidRDefault="00062FD1" w:rsidP="00062FD1">
            <w:pPr>
              <w:numPr>
                <w:ilvl w:val="0"/>
                <w:numId w:val="7"/>
              </w:numPr>
              <w:spacing w:after="200" w:line="276" w:lineRule="auto"/>
              <w:jc w:val="both"/>
              <w:rPr>
                <w:color w:val="0000CC"/>
                <w:lang w:val="sq-AL"/>
              </w:rPr>
            </w:pPr>
          </w:p>
        </w:tc>
        <w:tc>
          <w:tcPr>
            <w:tcW w:w="5406" w:type="dxa"/>
            <w:shd w:val="clear" w:color="auto" w:fill="auto"/>
          </w:tcPr>
          <w:p w14:paraId="47011334" w14:textId="77777777" w:rsidR="00062FD1" w:rsidRPr="00062FD1" w:rsidRDefault="00062FD1" w:rsidP="00062FD1">
            <w:pPr>
              <w:jc w:val="both"/>
              <w:rPr>
                <w:color w:val="0000CC"/>
                <w:lang w:val="sq-AL"/>
              </w:rPr>
            </w:pPr>
            <w:r w:rsidRPr="00062FD1">
              <w:rPr>
                <w:color w:val="0000CC"/>
                <w:lang w:val="sq-AL"/>
              </w:rPr>
              <w:t>Hartimi i tezave të provimit të pranimit për fazën e dytë (testi profesional).</w:t>
            </w:r>
          </w:p>
        </w:tc>
        <w:tc>
          <w:tcPr>
            <w:tcW w:w="3139" w:type="dxa"/>
            <w:shd w:val="clear" w:color="auto" w:fill="auto"/>
          </w:tcPr>
          <w:p w14:paraId="0F4A8224" w14:textId="77777777" w:rsidR="00062FD1" w:rsidRPr="00062FD1" w:rsidRDefault="00062FD1" w:rsidP="00062FD1">
            <w:pPr>
              <w:jc w:val="both"/>
              <w:rPr>
                <w:color w:val="0000CC"/>
                <w:lang w:val="sq-AL"/>
              </w:rPr>
            </w:pPr>
            <w:r w:rsidRPr="00062FD1">
              <w:rPr>
                <w:color w:val="0000CC"/>
                <w:lang w:val="sq-AL"/>
              </w:rPr>
              <w:t>2 500 (dy mijë e pesëqind) lekë/tezë</w:t>
            </w:r>
          </w:p>
        </w:tc>
      </w:tr>
      <w:tr w:rsidR="00062FD1" w:rsidRPr="00062FD1" w14:paraId="04F5311B" w14:textId="77777777" w:rsidTr="00D61F18">
        <w:tc>
          <w:tcPr>
            <w:tcW w:w="805" w:type="dxa"/>
            <w:shd w:val="clear" w:color="auto" w:fill="auto"/>
          </w:tcPr>
          <w:p w14:paraId="24D55FB2" w14:textId="77777777" w:rsidR="00062FD1" w:rsidRPr="00062FD1" w:rsidRDefault="00062FD1" w:rsidP="00062FD1">
            <w:pPr>
              <w:numPr>
                <w:ilvl w:val="0"/>
                <w:numId w:val="7"/>
              </w:numPr>
              <w:spacing w:after="200" w:line="276" w:lineRule="auto"/>
              <w:jc w:val="both"/>
              <w:rPr>
                <w:color w:val="0000CC"/>
                <w:lang w:val="sq-AL"/>
              </w:rPr>
            </w:pPr>
          </w:p>
        </w:tc>
        <w:tc>
          <w:tcPr>
            <w:tcW w:w="5406" w:type="dxa"/>
            <w:shd w:val="clear" w:color="auto" w:fill="auto"/>
          </w:tcPr>
          <w:p w14:paraId="28C4F44D" w14:textId="77777777" w:rsidR="00062FD1" w:rsidRPr="00062FD1" w:rsidRDefault="00062FD1" w:rsidP="00062FD1">
            <w:pPr>
              <w:jc w:val="both"/>
              <w:rPr>
                <w:color w:val="0000CC"/>
                <w:lang w:val="sq-AL"/>
              </w:rPr>
            </w:pPr>
            <w:r w:rsidRPr="00062FD1">
              <w:rPr>
                <w:color w:val="0000CC"/>
                <w:lang w:val="sq-AL"/>
              </w:rPr>
              <w:t>Provimi me shkrim, testimi profesional.</w:t>
            </w:r>
          </w:p>
        </w:tc>
        <w:tc>
          <w:tcPr>
            <w:tcW w:w="3139" w:type="dxa"/>
            <w:shd w:val="clear" w:color="auto" w:fill="auto"/>
          </w:tcPr>
          <w:p w14:paraId="26DCF023" w14:textId="77777777" w:rsidR="00062FD1" w:rsidRPr="00062FD1" w:rsidRDefault="00062FD1" w:rsidP="00062FD1">
            <w:pPr>
              <w:jc w:val="both"/>
              <w:rPr>
                <w:color w:val="0000CC"/>
                <w:lang w:val="sq-AL"/>
              </w:rPr>
            </w:pPr>
            <w:r w:rsidRPr="00062FD1">
              <w:rPr>
                <w:color w:val="0000CC"/>
                <w:lang w:val="sq-AL"/>
              </w:rPr>
              <w:t>0.5 orë mësimore/kandidat</w:t>
            </w:r>
          </w:p>
        </w:tc>
      </w:tr>
      <w:tr w:rsidR="00062FD1" w:rsidRPr="00062FD1" w14:paraId="6ADE5A21" w14:textId="77777777" w:rsidTr="00D61F18">
        <w:tc>
          <w:tcPr>
            <w:tcW w:w="805" w:type="dxa"/>
            <w:shd w:val="clear" w:color="auto" w:fill="auto"/>
          </w:tcPr>
          <w:p w14:paraId="4D6989BC" w14:textId="77777777" w:rsidR="00062FD1" w:rsidRPr="00062FD1" w:rsidRDefault="00062FD1" w:rsidP="00062FD1">
            <w:pPr>
              <w:numPr>
                <w:ilvl w:val="0"/>
                <w:numId w:val="7"/>
              </w:numPr>
              <w:spacing w:after="200" w:line="276" w:lineRule="auto"/>
              <w:jc w:val="both"/>
              <w:rPr>
                <w:color w:val="0000CC"/>
                <w:lang w:val="sq-AL"/>
              </w:rPr>
            </w:pPr>
          </w:p>
        </w:tc>
        <w:tc>
          <w:tcPr>
            <w:tcW w:w="5406" w:type="dxa"/>
            <w:shd w:val="clear" w:color="auto" w:fill="auto"/>
          </w:tcPr>
          <w:p w14:paraId="64D5E296" w14:textId="77777777" w:rsidR="00062FD1" w:rsidRPr="00062FD1" w:rsidRDefault="00062FD1" w:rsidP="00062FD1">
            <w:pPr>
              <w:jc w:val="both"/>
              <w:rPr>
                <w:color w:val="0000CC"/>
                <w:lang w:val="sq-AL"/>
              </w:rPr>
            </w:pPr>
            <w:r w:rsidRPr="00062FD1">
              <w:rPr>
                <w:color w:val="0000CC"/>
                <w:lang w:val="sq-AL"/>
              </w:rPr>
              <w:t>Hartimi i testit të shëndetit mendor dhe psikologjik.</w:t>
            </w:r>
          </w:p>
        </w:tc>
        <w:tc>
          <w:tcPr>
            <w:tcW w:w="3139" w:type="dxa"/>
            <w:shd w:val="clear" w:color="auto" w:fill="auto"/>
          </w:tcPr>
          <w:p w14:paraId="7C6286E8" w14:textId="77777777" w:rsidR="00062FD1" w:rsidRPr="00062FD1" w:rsidRDefault="00062FD1" w:rsidP="00062FD1">
            <w:pPr>
              <w:jc w:val="both"/>
              <w:rPr>
                <w:color w:val="0000CC"/>
                <w:lang w:val="sq-AL"/>
              </w:rPr>
            </w:pPr>
            <w:r w:rsidRPr="00062FD1">
              <w:rPr>
                <w:color w:val="0000CC"/>
                <w:lang w:val="sq-AL"/>
              </w:rPr>
              <w:t>20 orë mësimore/test</w:t>
            </w:r>
          </w:p>
        </w:tc>
      </w:tr>
      <w:tr w:rsidR="00062FD1" w:rsidRPr="00062FD1" w14:paraId="1830292E" w14:textId="77777777" w:rsidTr="00D61F18">
        <w:tc>
          <w:tcPr>
            <w:tcW w:w="805" w:type="dxa"/>
            <w:shd w:val="clear" w:color="auto" w:fill="auto"/>
          </w:tcPr>
          <w:p w14:paraId="6F349AE6" w14:textId="77777777" w:rsidR="00062FD1" w:rsidRPr="00062FD1" w:rsidRDefault="00062FD1" w:rsidP="00062FD1">
            <w:pPr>
              <w:numPr>
                <w:ilvl w:val="0"/>
                <w:numId w:val="7"/>
              </w:numPr>
              <w:spacing w:after="200" w:line="276" w:lineRule="auto"/>
              <w:jc w:val="both"/>
              <w:rPr>
                <w:color w:val="0000CC"/>
                <w:lang w:val="sq-AL"/>
              </w:rPr>
            </w:pPr>
          </w:p>
        </w:tc>
        <w:tc>
          <w:tcPr>
            <w:tcW w:w="5406" w:type="dxa"/>
            <w:shd w:val="clear" w:color="auto" w:fill="auto"/>
          </w:tcPr>
          <w:p w14:paraId="50274D95" w14:textId="77777777" w:rsidR="00062FD1" w:rsidRPr="00062FD1" w:rsidRDefault="00062FD1" w:rsidP="00062FD1">
            <w:pPr>
              <w:jc w:val="both"/>
              <w:rPr>
                <w:color w:val="0000CC"/>
                <w:lang w:val="sq-AL"/>
              </w:rPr>
            </w:pPr>
            <w:r w:rsidRPr="00062FD1">
              <w:rPr>
                <w:rFonts w:eastAsia="Calibri"/>
                <w:color w:val="FF0000"/>
                <w:lang w:val="sq-AL"/>
              </w:rPr>
              <w:t>Hartimi i raporteve individuale të vlerësimit të shëndetit mendor</w:t>
            </w:r>
          </w:p>
        </w:tc>
        <w:tc>
          <w:tcPr>
            <w:tcW w:w="3139" w:type="dxa"/>
            <w:shd w:val="clear" w:color="auto" w:fill="auto"/>
          </w:tcPr>
          <w:p w14:paraId="0ED839DA" w14:textId="77777777" w:rsidR="00062FD1" w:rsidRPr="00062FD1" w:rsidRDefault="00062FD1" w:rsidP="00062FD1">
            <w:pPr>
              <w:jc w:val="both"/>
              <w:rPr>
                <w:color w:val="0000CC"/>
                <w:lang w:val="sq-AL"/>
              </w:rPr>
            </w:pPr>
            <w:r w:rsidRPr="00062FD1">
              <w:rPr>
                <w:color w:val="0000CC"/>
                <w:lang w:val="sq-AL"/>
              </w:rPr>
              <w:t>1 orë mësimore/kandidat</w:t>
            </w:r>
          </w:p>
        </w:tc>
      </w:tr>
      <w:tr w:rsidR="00062FD1" w:rsidRPr="00062FD1" w14:paraId="11500519" w14:textId="77777777" w:rsidTr="00D61F18">
        <w:tc>
          <w:tcPr>
            <w:tcW w:w="805" w:type="dxa"/>
            <w:shd w:val="clear" w:color="auto" w:fill="auto"/>
          </w:tcPr>
          <w:p w14:paraId="0AA87A0B" w14:textId="77777777" w:rsidR="00062FD1" w:rsidRPr="00062FD1" w:rsidRDefault="00062FD1" w:rsidP="00062FD1">
            <w:pPr>
              <w:numPr>
                <w:ilvl w:val="0"/>
                <w:numId w:val="7"/>
              </w:numPr>
              <w:spacing w:after="200" w:line="276" w:lineRule="auto"/>
              <w:jc w:val="both"/>
              <w:rPr>
                <w:color w:val="0000CC"/>
                <w:lang w:val="sq-AL"/>
              </w:rPr>
            </w:pPr>
          </w:p>
        </w:tc>
        <w:tc>
          <w:tcPr>
            <w:tcW w:w="5406" w:type="dxa"/>
            <w:shd w:val="clear" w:color="auto" w:fill="auto"/>
          </w:tcPr>
          <w:p w14:paraId="7C5EB18A" w14:textId="77777777" w:rsidR="00062FD1" w:rsidRPr="00062FD1" w:rsidRDefault="00062FD1" w:rsidP="00062FD1">
            <w:pPr>
              <w:jc w:val="both"/>
              <w:rPr>
                <w:color w:val="FF0000"/>
                <w:lang w:val="sq-AL"/>
              </w:rPr>
            </w:pPr>
            <w:r w:rsidRPr="00062FD1">
              <w:rPr>
                <w:color w:val="FF0000"/>
                <w:lang w:val="sq-AL"/>
              </w:rPr>
              <w:t xml:space="preserve">Vlerësim statistikor për rezultatet e testimit të shëndetit mendor dhe psikologjik me shkrim </w:t>
            </w:r>
          </w:p>
        </w:tc>
        <w:tc>
          <w:tcPr>
            <w:tcW w:w="3139" w:type="dxa"/>
            <w:shd w:val="clear" w:color="auto" w:fill="auto"/>
          </w:tcPr>
          <w:p w14:paraId="57CDE827" w14:textId="77777777" w:rsidR="00062FD1" w:rsidRPr="00062FD1" w:rsidRDefault="00062FD1" w:rsidP="00062FD1">
            <w:pPr>
              <w:jc w:val="both"/>
              <w:rPr>
                <w:color w:val="FF0000"/>
                <w:lang w:val="sq-AL"/>
              </w:rPr>
            </w:pPr>
            <w:r w:rsidRPr="00062FD1">
              <w:rPr>
                <w:color w:val="FF0000"/>
                <w:lang w:val="sq-AL"/>
              </w:rPr>
              <w:t>0.3 orë mësimore /kandidat</w:t>
            </w:r>
          </w:p>
        </w:tc>
      </w:tr>
      <w:tr w:rsidR="00062FD1" w:rsidRPr="00062FD1" w14:paraId="3672BAF1" w14:textId="77777777" w:rsidTr="00D61F18">
        <w:tc>
          <w:tcPr>
            <w:tcW w:w="805" w:type="dxa"/>
            <w:shd w:val="clear" w:color="auto" w:fill="auto"/>
          </w:tcPr>
          <w:p w14:paraId="45E05D42" w14:textId="77777777" w:rsidR="00062FD1" w:rsidRPr="00062FD1" w:rsidRDefault="00062FD1" w:rsidP="00062FD1">
            <w:pPr>
              <w:numPr>
                <w:ilvl w:val="0"/>
                <w:numId w:val="7"/>
              </w:numPr>
              <w:spacing w:after="200" w:line="276" w:lineRule="auto"/>
              <w:jc w:val="both"/>
              <w:rPr>
                <w:color w:val="0000CC"/>
                <w:lang w:val="sq-AL"/>
              </w:rPr>
            </w:pPr>
          </w:p>
        </w:tc>
        <w:tc>
          <w:tcPr>
            <w:tcW w:w="5406" w:type="dxa"/>
            <w:shd w:val="clear" w:color="auto" w:fill="auto"/>
          </w:tcPr>
          <w:p w14:paraId="4B668A43" w14:textId="77777777" w:rsidR="00062FD1" w:rsidRPr="00062FD1" w:rsidRDefault="00062FD1" w:rsidP="00062FD1">
            <w:pPr>
              <w:jc w:val="both"/>
              <w:rPr>
                <w:color w:val="FF0000"/>
                <w:lang w:val="sq-AL"/>
              </w:rPr>
            </w:pPr>
            <w:r w:rsidRPr="00062FD1">
              <w:rPr>
                <w:color w:val="FF0000"/>
                <w:lang w:val="sq-AL"/>
              </w:rPr>
              <w:t>Vlerësim i testimit të shëndetit mendor dhe psikologjik, intervista individuale dhe në grup</w:t>
            </w:r>
          </w:p>
        </w:tc>
        <w:tc>
          <w:tcPr>
            <w:tcW w:w="3139" w:type="dxa"/>
            <w:shd w:val="clear" w:color="auto" w:fill="auto"/>
          </w:tcPr>
          <w:p w14:paraId="37D30BA6" w14:textId="77777777" w:rsidR="00062FD1" w:rsidRPr="00062FD1" w:rsidRDefault="00062FD1" w:rsidP="00062FD1">
            <w:pPr>
              <w:jc w:val="both"/>
              <w:rPr>
                <w:color w:val="FF0000"/>
                <w:lang w:val="sq-AL"/>
              </w:rPr>
            </w:pPr>
            <w:r w:rsidRPr="00062FD1">
              <w:rPr>
                <w:color w:val="FF0000"/>
                <w:lang w:val="sq-AL"/>
              </w:rPr>
              <w:t>0.7 orë mësimore /kandidat</w:t>
            </w:r>
          </w:p>
        </w:tc>
      </w:tr>
      <w:tr w:rsidR="00062FD1" w:rsidRPr="00062FD1" w14:paraId="0AAF89C4" w14:textId="77777777" w:rsidTr="00D61F18">
        <w:tc>
          <w:tcPr>
            <w:tcW w:w="805" w:type="dxa"/>
            <w:shd w:val="clear" w:color="auto" w:fill="auto"/>
          </w:tcPr>
          <w:p w14:paraId="6A7A8F02" w14:textId="77777777" w:rsidR="00062FD1" w:rsidRPr="00062FD1" w:rsidRDefault="00062FD1" w:rsidP="00062FD1">
            <w:pPr>
              <w:numPr>
                <w:ilvl w:val="0"/>
                <w:numId w:val="8"/>
              </w:numPr>
              <w:spacing w:after="200" w:line="276" w:lineRule="auto"/>
              <w:jc w:val="both"/>
              <w:rPr>
                <w:b/>
                <w:color w:val="0000CC"/>
                <w:lang w:val="sq-AL"/>
              </w:rPr>
            </w:pPr>
          </w:p>
        </w:tc>
        <w:tc>
          <w:tcPr>
            <w:tcW w:w="5406" w:type="dxa"/>
            <w:shd w:val="clear" w:color="auto" w:fill="auto"/>
          </w:tcPr>
          <w:p w14:paraId="7ACD294C" w14:textId="77777777" w:rsidR="00062FD1" w:rsidRPr="00062FD1" w:rsidRDefault="00062FD1" w:rsidP="00062FD1">
            <w:pPr>
              <w:jc w:val="both"/>
              <w:rPr>
                <w:rFonts w:eastAsia="Times New Roman"/>
                <w:b/>
                <w:color w:val="0000CC"/>
                <w:lang w:val="sq-AL" w:eastAsia="en-GB"/>
              </w:rPr>
            </w:pPr>
            <w:r w:rsidRPr="00062FD1">
              <w:rPr>
                <w:rFonts w:eastAsia="Times New Roman"/>
                <w:b/>
                <w:color w:val="0000CC"/>
                <w:lang w:val="sq-AL" w:eastAsia="en-GB"/>
              </w:rPr>
              <w:t>Formimi Fillestar (Rregullorja e Brendshme, programet mesimore)</w:t>
            </w:r>
          </w:p>
        </w:tc>
        <w:tc>
          <w:tcPr>
            <w:tcW w:w="3139" w:type="dxa"/>
            <w:shd w:val="clear" w:color="auto" w:fill="auto"/>
          </w:tcPr>
          <w:p w14:paraId="2BB64631" w14:textId="77777777" w:rsidR="00062FD1" w:rsidRPr="00062FD1" w:rsidRDefault="00062FD1" w:rsidP="00062FD1">
            <w:pPr>
              <w:jc w:val="both"/>
              <w:rPr>
                <w:b/>
                <w:color w:val="0000CC"/>
                <w:lang w:val="sq-AL"/>
              </w:rPr>
            </w:pPr>
          </w:p>
        </w:tc>
      </w:tr>
      <w:tr w:rsidR="00062FD1" w:rsidRPr="00062FD1" w14:paraId="19FAF7D8" w14:textId="77777777" w:rsidTr="00D61F18">
        <w:tc>
          <w:tcPr>
            <w:tcW w:w="805" w:type="dxa"/>
            <w:shd w:val="clear" w:color="auto" w:fill="auto"/>
          </w:tcPr>
          <w:p w14:paraId="0B44CE04" w14:textId="77777777" w:rsidR="00062FD1" w:rsidRPr="00062FD1" w:rsidRDefault="00062FD1" w:rsidP="00062FD1">
            <w:pPr>
              <w:numPr>
                <w:ilvl w:val="0"/>
                <w:numId w:val="5"/>
              </w:numPr>
              <w:spacing w:after="200" w:line="276" w:lineRule="auto"/>
              <w:jc w:val="both"/>
              <w:rPr>
                <w:color w:val="0000CC"/>
                <w:lang w:val="sq-AL"/>
              </w:rPr>
            </w:pPr>
          </w:p>
        </w:tc>
        <w:tc>
          <w:tcPr>
            <w:tcW w:w="5406" w:type="dxa"/>
            <w:shd w:val="clear" w:color="auto" w:fill="auto"/>
          </w:tcPr>
          <w:p w14:paraId="69A03090" w14:textId="77777777" w:rsidR="00062FD1" w:rsidRPr="00062FD1" w:rsidRDefault="00062FD1" w:rsidP="00062FD1">
            <w:pPr>
              <w:jc w:val="both"/>
              <w:rPr>
                <w:rFonts w:eastAsia="Times New Roman"/>
                <w:color w:val="0000CC"/>
                <w:lang w:val="sq-AL" w:eastAsia="en-GB"/>
              </w:rPr>
            </w:pPr>
            <w:r w:rsidRPr="00062FD1">
              <w:rPr>
                <w:rFonts w:eastAsia="Times New Roman"/>
                <w:color w:val="0000CC"/>
                <w:lang w:val="sq-AL" w:eastAsia="en-GB"/>
              </w:rPr>
              <w:t>Provim lënde</w:t>
            </w:r>
          </w:p>
        </w:tc>
        <w:tc>
          <w:tcPr>
            <w:tcW w:w="3139" w:type="dxa"/>
            <w:shd w:val="clear" w:color="auto" w:fill="auto"/>
          </w:tcPr>
          <w:p w14:paraId="4173FE99" w14:textId="77777777" w:rsidR="00062FD1" w:rsidRPr="00062FD1" w:rsidRDefault="00062FD1" w:rsidP="00062FD1">
            <w:pPr>
              <w:jc w:val="both"/>
              <w:rPr>
                <w:color w:val="0000CC"/>
                <w:lang w:val="sq-AL"/>
              </w:rPr>
            </w:pPr>
            <w:r w:rsidRPr="00062FD1">
              <w:rPr>
                <w:color w:val="0000CC"/>
                <w:lang w:val="sq-AL"/>
              </w:rPr>
              <w:t>0.5 orë mësimore/kandidat</w:t>
            </w:r>
          </w:p>
        </w:tc>
      </w:tr>
      <w:tr w:rsidR="00062FD1" w:rsidRPr="00062FD1" w14:paraId="673E6D99" w14:textId="77777777" w:rsidTr="00D61F18">
        <w:tc>
          <w:tcPr>
            <w:tcW w:w="805" w:type="dxa"/>
            <w:shd w:val="clear" w:color="auto" w:fill="auto"/>
          </w:tcPr>
          <w:p w14:paraId="4C02DF27" w14:textId="77777777" w:rsidR="00062FD1" w:rsidRPr="00062FD1" w:rsidRDefault="00062FD1" w:rsidP="00062FD1">
            <w:pPr>
              <w:numPr>
                <w:ilvl w:val="0"/>
                <w:numId w:val="5"/>
              </w:numPr>
              <w:spacing w:after="200" w:line="276" w:lineRule="auto"/>
              <w:jc w:val="both"/>
              <w:rPr>
                <w:color w:val="0000CC"/>
                <w:lang w:val="sq-AL"/>
              </w:rPr>
            </w:pPr>
          </w:p>
        </w:tc>
        <w:tc>
          <w:tcPr>
            <w:tcW w:w="5406" w:type="dxa"/>
            <w:shd w:val="clear" w:color="auto" w:fill="auto"/>
          </w:tcPr>
          <w:p w14:paraId="2537B229" w14:textId="77777777" w:rsidR="00062FD1" w:rsidRPr="00062FD1" w:rsidRDefault="00062FD1" w:rsidP="00062FD1">
            <w:pPr>
              <w:jc w:val="both"/>
              <w:rPr>
                <w:rFonts w:eastAsia="Times New Roman"/>
                <w:color w:val="0000CC"/>
                <w:lang w:val="sq-AL" w:eastAsia="en-GB"/>
              </w:rPr>
            </w:pPr>
            <w:r w:rsidRPr="00062FD1">
              <w:rPr>
                <w:rFonts w:eastAsia="Times New Roman"/>
                <w:color w:val="0000CC"/>
                <w:lang w:val="sq-AL" w:eastAsia="en-GB"/>
              </w:rPr>
              <w:t xml:space="preserve">Vlerësim i raportit të kursit viti II </w:t>
            </w:r>
          </w:p>
        </w:tc>
        <w:tc>
          <w:tcPr>
            <w:tcW w:w="3139" w:type="dxa"/>
            <w:shd w:val="clear" w:color="auto" w:fill="auto"/>
          </w:tcPr>
          <w:p w14:paraId="64BAA450" w14:textId="77777777" w:rsidR="00062FD1" w:rsidRPr="00062FD1" w:rsidRDefault="00062FD1" w:rsidP="00062FD1">
            <w:pPr>
              <w:jc w:val="both"/>
              <w:rPr>
                <w:color w:val="0000CC"/>
                <w:lang w:val="sq-AL"/>
              </w:rPr>
            </w:pPr>
            <w:r w:rsidRPr="00062FD1">
              <w:rPr>
                <w:color w:val="0000CC"/>
                <w:lang w:val="sq-AL"/>
              </w:rPr>
              <w:t>0.3 orë mësimore/kandidat</w:t>
            </w:r>
          </w:p>
        </w:tc>
      </w:tr>
      <w:tr w:rsidR="00062FD1" w:rsidRPr="00062FD1" w14:paraId="6E4ACF92" w14:textId="77777777" w:rsidTr="00D61F18">
        <w:tc>
          <w:tcPr>
            <w:tcW w:w="805" w:type="dxa"/>
            <w:shd w:val="clear" w:color="auto" w:fill="auto"/>
          </w:tcPr>
          <w:p w14:paraId="60FF6CEF" w14:textId="77777777" w:rsidR="00062FD1" w:rsidRPr="00062FD1" w:rsidRDefault="00062FD1" w:rsidP="00062FD1">
            <w:pPr>
              <w:numPr>
                <w:ilvl w:val="0"/>
                <w:numId w:val="5"/>
              </w:numPr>
              <w:spacing w:after="200" w:line="276" w:lineRule="auto"/>
              <w:jc w:val="both"/>
              <w:rPr>
                <w:color w:val="0000CC"/>
                <w:lang w:val="sq-AL"/>
              </w:rPr>
            </w:pPr>
          </w:p>
        </w:tc>
        <w:tc>
          <w:tcPr>
            <w:tcW w:w="5406" w:type="dxa"/>
            <w:shd w:val="clear" w:color="auto" w:fill="auto"/>
          </w:tcPr>
          <w:p w14:paraId="4202EB4F" w14:textId="77777777" w:rsidR="00062FD1" w:rsidRPr="00062FD1" w:rsidRDefault="00062FD1" w:rsidP="00062FD1">
            <w:pPr>
              <w:jc w:val="both"/>
              <w:rPr>
                <w:color w:val="FF0000"/>
                <w:lang w:val="sq-AL"/>
              </w:rPr>
            </w:pPr>
            <w:r w:rsidRPr="00062FD1">
              <w:rPr>
                <w:rFonts w:eastAsia="Times New Roman"/>
                <w:color w:val="FF0000"/>
                <w:lang w:val="sq-AL"/>
              </w:rPr>
              <w:t>Komisioni i vlerësimit të memove viti II</w:t>
            </w:r>
          </w:p>
        </w:tc>
        <w:tc>
          <w:tcPr>
            <w:tcW w:w="3139" w:type="dxa"/>
            <w:shd w:val="clear" w:color="auto" w:fill="auto"/>
          </w:tcPr>
          <w:p w14:paraId="050A116A" w14:textId="77777777" w:rsidR="00062FD1" w:rsidRPr="00062FD1" w:rsidRDefault="00062FD1" w:rsidP="00062FD1">
            <w:pPr>
              <w:jc w:val="both"/>
              <w:rPr>
                <w:color w:val="0000CC"/>
                <w:lang w:val="sq-AL"/>
              </w:rPr>
            </w:pPr>
            <w:r w:rsidRPr="00062FD1">
              <w:rPr>
                <w:color w:val="C00000"/>
                <w:lang w:val="sq-AL"/>
              </w:rPr>
              <w:t>4 orë mësimore/memo</w:t>
            </w:r>
          </w:p>
        </w:tc>
      </w:tr>
      <w:tr w:rsidR="00062FD1" w:rsidRPr="00062FD1" w14:paraId="736B0C34" w14:textId="77777777" w:rsidTr="00D61F18">
        <w:tc>
          <w:tcPr>
            <w:tcW w:w="805" w:type="dxa"/>
            <w:shd w:val="clear" w:color="auto" w:fill="auto"/>
          </w:tcPr>
          <w:p w14:paraId="4709F97E" w14:textId="77777777" w:rsidR="00062FD1" w:rsidRPr="00062FD1" w:rsidRDefault="00062FD1" w:rsidP="00062FD1">
            <w:pPr>
              <w:numPr>
                <w:ilvl w:val="0"/>
                <w:numId w:val="5"/>
              </w:numPr>
              <w:spacing w:after="200" w:line="276" w:lineRule="auto"/>
              <w:jc w:val="both"/>
              <w:rPr>
                <w:color w:val="0000CC"/>
                <w:lang w:val="sq-AL"/>
              </w:rPr>
            </w:pPr>
          </w:p>
        </w:tc>
        <w:tc>
          <w:tcPr>
            <w:tcW w:w="5406" w:type="dxa"/>
            <w:shd w:val="clear" w:color="auto" w:fill="auto"/>
          </w:tcPr>
          <w:p w14:paraId="64B52E83" w14:textId="77777777" w:rsidR="00062FD1" w:rsidRPr="00062FD1" w:rsidRDefault="00062FD1" w:rsidP="00062FD1">
            <w:pPr>
              <w:jc w:val="both"/>
              <w:rPr>
                <w:color w:val="0000CC"/>
                <w:lang w:val="sq-AL"/>
              </w:rPr>
            </w:pPr>
            <w:r w:rsidRPr="00062FD1">
              <w:rPr>
                <w:color w:val="0000CC"/>
                <w:lang w:val="sq-AL"/>
              </w:rPr>
              <w:t>Komisioni për provimin përfundimtar viti II</w:t>
            </w:r>
          </w:p>
        </w:tc>
        <w:tc>
          <w:tcPr>
            <w:tcW w:w="3139" w:type="dxa"/>
            <w:shd w:val="clear" w:color="auto" w:fill="auto"/>
          </w:tcPr>
          <w:p w14:paraId="15C64C55" w14:textId="77777777" w:rsidR="00062FD1" w:rsidRPr="00062FD1" w:rsidRDefault="00062FD1" w:rsidP="00062FD1">
            <w:pPr>
              <w:jc w:val="both"/>
              <w:rPr>
                <w:color w:val="0000CC"/>
                <w:lang w:val="sq-AL"/>
              </w:rPr>
            </w:pPr>
            <w:r w:rsidRPr="00062FD1">
              <w:rPr>
                <w:color w:val="0000CC"/>
                <w:lang w:val="sq-AL"/>
              </w:rPr>
              <w:t>0.5 orë mësimore/kandidat</w:t>
            </w:r>
          </w:p>
        </w:tc>
      </w:tr>
      <w:tr w:rsidR="00062FD1" w:rsidRPr="00062FD1" w14:paraId="20533320" w14:textId="77777777" w:rsidTr="00D61F18">
        <w:tc>
          <w:tcPr>
            <w:tcW w:w="805" w:type="dxa"/>
            <w:shd w:val="clear" w:color="auto" w:fill="auto"/>
          </w:tcPr>
          <w:p w14:paraId="6CC010FD" w14:textId="77777777" w:rsidR="00062FD1" w:rsidRPr="00062FD1" w:rsidRDefault="00062FD1" w:rsidP="00062FD1">
            <w:pPr>
              <w:numPr>
                <w:ilvl w:val="0"/>
                <w:numId w:val="5"/>
              </w:numPr>
              <w:spacing w:after="200" w:line="276" w:lineRule="auto"/>
              <w:jc w:val="both"/>
              <w:rPr>
                <w:color w:val="0000CC"/>
                <w:lang w:val="sq-AL"/>
              </w:rPr>
            </w:pPr>
          </w:p>
        </w:tc>
        <w:tc>
          <w:tcPr>
            <w:tcW w:w="5406" w:type="dxa"/>
            <w:shd w:val="clear" w:color="auto" w:fill="auto"/>
          </w:tcPr>
          <w:p w14:paraId="1F589B8B" w14:textId="77777777" w:rsidR="00062FD1" w:rsidRPr="00062FD1" w:rsidRDefault="00062FD1" w:rsidP="00062FD1">
            <w:pPr>
              <w:jc w:val="both"/>
              <w:rPr>
                <w:color w:val="0000CC"/>
                <w:lang w:val="sq-AL"/>
              </w:rPr>
            </w:pPr>
            <w:r w:rsidRPr="00062FD1">
              <w:rPr>
                <w:color w:val="FF0000"/>
                <w:lang w:val="sq-AL"/>
              </w:rPr>
              <w:t>shfuqizohet</w:t>
            </w:r>
          </w:p>
        </w:tc>
        <w:tc>
          <w:tcPr>
            <w:tcW w:w="3139" w:type="dxa"/>
            <w:shd w:val="clear" w:color="auto" w:fill="auto"/>
          </w:tcPr>
          <w:p w14:paraId="2553F10D" w14:textId="77777777" w:rsidR="00062FD1" w:rsidRPr="00062FD1" w:rsidRDefault="00062FD1" w:rsidP="00062FD1">
            <w:pPr>
              <w:jc w:val="both"/>
              <w:rPr>
                <w:color w:val="0000CC"/>
                <w:lang w:val="sq-AL"/>
              </w:rPr>
            </w:pPr>
          </w:p>
        </w:tc>
      </w:tr>
      <w:tr w:rsidR="00062FD1" w:rsidRPr="00062FD1" w14:paraId="3F19C8F7" w14:textId="77777777" w:rsidTr="00D61F18">
        <w:tc>
          <w:tcPr>
            <w:tcW w:w="805" w:type="dxa"/>
            <w:shd w:val="clear" w:color="auto" w:fill="auto"/>
          </w:tcPr>
          <w:p w14:paraId="32DD1D54" w14:textId="77777777" w:rsidR="00062FD1" w:rsidRPr="00062FD1" w:rsidRDefault="00062FD1" w:rsidP="00062FD1">
            <w:pPr>
              <w:numPr>
                <w:ilvl w:val="0"/>
                <w:numId w:val="5"/>
              </w:numPr>
              <w:spacing w:after="200" w:line="276" w:lineRule="auto"/>
              <w:jc w:val="both"/>
              <w:rPr>
                <w:color w:val="0000CC"/>
                <w:lang w:val="sq-AL"/>
              </w:rPr>
            </w:pPr>
          </w:p>
        </w:tc>
        <w:tc>
          <w:tcPr>
            <w:tcW w:w="5406" w:type="dxa"/>
            <w:shd w:val="clear" w:color="auto" w:fill="auto"/>
          </w:tcPr>
          <w:p w14:paraId="67BAFD06" w14:textId="77777777" w:rsidR="00062FD1" w:rsidRPr="00062FD1" w:rsidRDefault="00062FD1" w:rsidP="00062FD1">
            <w:pPr>
              <w:jc w:val="both"/>
              <w:rPr>
                <w:color w:val="0000CC"/>
                <w:lang w:val="sq-AL"/>
              </w:rPr>
            </w:pPr>
            <w:r w:rsidRPr="00062FD1">
              <w:rPr>
                <w:color w:val="0000CC"/>
                <w:lang w:val="sq-AL"/>
              </w:rPr>
              <w:t>Komisioni i testimit te shendetit mendor dhe psikologjik</w:t>
            </w:r>
          </w:p>
        </w:tc>
        <w:tc>
          <w:tcPr>
            <w:tcW w:w="3139" w:type="dxa"/>
            <w:shd w:val="clear" w:color="auto" w:fill="auto"/>
          </w:tcPr>
          <w:p w14:paraId="0B89C366" w14:textId="77777777" w:rsidR="00062FD1" w:rsidRPr="00062FD1" w:rsidRDefault="00062FD1" w:rsidP="00062FD1">
            <w:pPr>
              <w:jc w:val="both"/>
              <w:rPr>
                <w:color w:val="0000CC"/>
                <w:lang w:val="sq-AL"/>
              </w:rPr>
            </w:pPr>
            <w:r w:rsidRPr="00062FD1">
              <w:rPr>
                <w:color w:val="0000CC"/>
                <w:lang w:val="sq-AL"/>
              </w:rPr>
              <w:t>0.8 orë mësimore/kandidat</w:t>
            </w:r>
          </w:p>
        </w:tc>
      </w:tr>
      <w:tr w:rsidR="00062FD1" w:rsidRPr="00062FD1" w14:paraId="56EF19B3" w14:textId="77777777" w:rsidTr="00D61F18">
        <w:tc>
          <w:tcPr>
            <w:tcW w:w="805" w:type="dxa"/>
            <w:shd w:val="clear" w:color="auto" w:fill="auto"/>
          </w:tcPr>
          <w:p w14:paraId="5B3F8C50" w14:textId="77777777" w:rsidR="00062FD1" w:rsidRPr="00062FD1" w:rsidRDefault="00062FD1" w:rsidP="00062FD1">
            <w:pPr>
              <w:numPr>
                <w:ilvl w:val="0"/>
                <w:numId w:val="5"/>
              </w:numPr>
              <w:spacing w:after="200" w:line="276" w:lineRule="auto"/>
              <w:jc w:val="both"/>
              <w:rPr>
                <w:color w:val="0000CC"/>
                <w:lang w:val="sq-AL"/>
              </w:rPr>
            </w:pPr>
          </w:p>
        </w:tc>
        <w:tc>
          <w:tcPr>
            <w:tcW w:w="5406" w:type="dxa"/>
            <w:shd w:val="clear" w:color="auto" w:fill="auto"/>
          </w:tcPr>
          <w:p w14:paraId="2FF6B813" w14:textId="77777777" w:rsidR="00062FD1" w:rsidRPr="00062FD1" w:rsidRDefault="00062FD1" w:rsidP="00062FD1">
            <w:pPr>
              <w:spacing w:before="100" w:beforeAutospacing="1" w:after="100" w:afterAutospacing="1"/>
              <w:contextualSpacing/>
              <w:jc w:val="both"/>
              <w:rPr>
                <w:rFonts w:eastAsia="Times New Roman"/>
                <w:color w:val="FF0000"/>
                <w:lang w:val="sq-AL"/>
              </w:rPr>
            </w:pPr>
            <w:r w:rsidRPr="00062FD1">
              <w:rPr>
                <w:rFonts w:eastAsia="Times New Roman"/>
                <w:color w:val="FF0000"/>
                <w:lang w:val="sq-AL" w:eastAsia="en-GB"/>
              </w:rPr>
              <w:t xml:space="preserve">Përgjegjës Stazhi/Udhëheqësi i praktikës paraprofesionale në gjykatë dhe prokurori   </w:t>
            </w:r>
          </w:p>
        </w:tc>
        <w:tc>
          <w:tcPr>
            <w:tcW w:w="3139" w:type="dxa"/>
            <w:shd w:val="clear" w:color="auto" w:fill="auto"/>
          </w:tcPr>
          <w:p w14:paraId="270070AB" w14:textId="77777777" w:rsidR="00062FD1" w:rsidRPr="00062FD1" w:rsidRDefault="00062FD1" w:rsidP="00062FD1">
            <w:pPr>
              <w:spacing w:before="100" w:beforeAutospacing="1" w:after="100" w:afterAutospacing="1"/>
              <w:contextualSpacing/>
              <w:jc w:val="both"/>
              <w:rPr>
                <w:rFonts w:eastAsia="Times New Roman"/>
                <w:color w:val="0000CC"/>
                <w:lang w:val="sq-AL" w:eastAsia="en-GB"/>
              </w:rPr>
            </w:pPr>
            <w:r w:rsidRPr="00062FD1">
              <w:rPr>
                <w:rFonts w:eastAsia="Times New Roman"/>
                <w:color w:val="C00000"/>
                <w:lang w:val="sq-AL" w:eastAsia="en-GB"/>
              </w:rPr>
              <w:t xml:space="preserve">4 </w:t>
            </w:r>
            <w:r w:rsidRPr="00062FD1">
              <w:rPr>
                <w:rFonts w:eastAsia="Times New Roman"/>
                <w:color w:val="0000CC"/>
                <w:lang w:val="sq-AL" w:eastAsia="en-GB"/>
              </w:rPr>
              <w:t>orë mësimore/muaj</w:t>
            </w:r>
          </w:p>
        </w:tc>
      </w:tr>
      <w:tr w:rsidR="00062FD1" w:rsidRPr="00062FD1" w14:paraId="7EE0FB75" w14:textId="77777777" w:rsidTr="00D61F18">
        <w:tc>
          <w:tcPr>
            <w:tcW w:w="805" w:type="dxa"/>
            <w:shd w:val="clear" w:color="auto" w:fill="auto"/>
          </w:tcPr>
          <w:p w14:paraId="2DB9D01B" w14:textId="77777777" w:rsidR="00062FD1" w:rsidRPr="00062FD1" w:rsidRDefault="00062FD1" w:rsidP="00062FD1">
            <w:pPr>
              <w:numPr>
                <w:ilvl w:val="0"/>
                <w:numId w:val="8"/>
              </w:numPr>
              <w:spacing w:after="200" w:line="276" w:lineRule="auto"/>
              <w:jc w:val="both"/>
              <w:rPr>
                <w:b/>
                <w:color w:val="0000CC"/>
                <w:lang w:val="sq-AL"/>
              </w:rPr>
            </w:pPr>
          </w:p>
        </w:tc>
        <w:tc>
          <w:tcPr>
            <w:tcW w:w="5406" w:type="dxa"/>
            <w:shd w:val="clear" w:color="auto" w:fill="auto"/>
          </w:tcPr>
          <w:p w14:paraId="4C715ABF" w14:textId="77777777" w:rsidR="00062FD1" w:rsidRPr="00062FD1" w:rsidRDefault="00062FD1" w:rsidP="00062FD1">
            <w:pPr>
              <w:jc w:val="both"/>
              <w:rPr>
                <w:b/>
                <w:color w:val="0000CC"/>
                <w:lang w:val="sq-AL"/>
              </w:rPr>
            </w:pPr>
            <w:r w:rsidRPr="00062FD1">
              <w:rPr>
                <w:b/>
                <w:color w:val="0000CC"/>
                <w:lang w:val="sq-AL"/>
              </w:rPr>
              <w:t>Formimi Vazhdues (neni 272, ligji 115/2016, Rregullorja e  Brendshme)</w:t>
            </w:r>
          </w:p>
        </w:tc>
        <w:tc>
          <w:tcPr>
            <w:tcW w:w="3139" w:type="dxa"/>
            <w:shd w:val="clear" w:color="auto" w:fill="auto"/>
          </w:tcPr>
          <w:p w14:paraId="33B34168" w14:textId="77777777" w:rsidR="00062FD1" w:rsidRPr="00062FD1" w:rsidRDefault="00062FD1" w:rsidP="00062FD1">
            <w:pPr>
              <w:jc w:val="both"/>
              <w:rPr>
                <w:b/>
                <w:color w:val="0000CC"/>
                <w:lang w:val="sq-AL"/>
              </w:rPr>
            </w:pPr>
          </w:p>
        </w:tc>
      </w:tr>
      <w:tr w:rsidR="00062FD1" w:rsidRPr="00062FD1" w14:paraId="0DE957E7" w14:textId="77777777" w:rsidTr="00D61F18">
        <w:tc>
          <w:tcPr>
            <w:tcW w:w="805" w:type="dxa"/>
            <w:shd w:val="clear" w:color="auto" w:fill="auto"/>
          </w:tcPr>
          <w:p w14:paraId="181BBF0D" w14:textId="77777777" w:rsidR="00062FD1" w:rsidRPr="00062FD1" w:rsidRDefault="00062FD1" w:rsidP="00062FD1">
            <w:pPr>
              <w:numPr>
                <w:ilvl w:val="0"/>
                <w:numId w:val="6"/>
              </w:numPr>
              <w:spacing w:after="200" w:line="276" w:lineRule="auto"/>
              <w:jc w:val="both"/>
              <w:rPr>
                <w:color w:val="0000CC"/>
                <w:lang w:val="sq-AL"/>
              </w:rPr>
            </w:pPr>
          </w:p>
        </w:tc>
        <w:tc>
          <w:tcPr>
            <w:tcW w:w="5406" w:type="dxa"/>
            <w:shd w:val="clear" w:color="auto" w:fill="auto"/>
          </w:tcPr>
          <w:p w14:paraId="7B7D1FD3" w14:textId="77777777" w:rsidR="00062FD1" w:rsidRPr="00062FD1" w:rsidRDefault="00062FD1" w:rsidP="00062FD1">
            <w:pPr>
              <w:jc w:val="both"/>
              <w:rPr>
                <w:color w:val="0000CC"/>
                <w:lang w:val="sq-AL"/>
              </w:rPr>
            </w:pPr>
            <w:r w:rsidRPr="00062FD1">
              <w:rPr>
                <w:color w:val="0000CC"/>
                <w:lang w:val="sq-AL"/>
              </w:rPr>
              <w:t>Ekspertë/specialistë seminari</w:t>
            </w:r>
          </w:p>
        </w:tc>
        <w:tc>
          <w:tcPr>
            <w:tcW w:w="3139" w:type="dxa"/>
            <w:shd w:val="clear" w:color="auto" w:fill="auto"/>
          </w:tcPr>
          <w:p w14:paraId="0A3AD425" w14:textId="77777777" w:rsidR="00062FD1" w:rsidRPr="00062FD1" w:rsidRDefault="00062FD1" w:rsidP="00062FD1">
            <w:pPr>
              <w:jc w:val="both"/>
              <w:rPr>
                <w:color w:val="FF0000"/>
                <w:lang w:val="sq-AL"/>
              </w:rPr>
            </w:pPr>
            <w:r w:rsidRPr="00062FD1">
              <w:rPr>
                <w:color w:val="FF0000"/>
                <w:lang w:val="sq-AL"/>
              </w:rPr>
              <w:t>7- 10 orë mësimore/ditë</w:t>
            </w:r>
          </w:p>
        </w:tc>
      </w:tr>
      <w:tr w:rsidR="00062FD1" w:rsidRPr="00062FD1" w14:paraId="707C0CDF" w14:textId="77777777" w:rsidTr="00D61F18">
        <w:tc>
          <w:tcPr>
            <w:tcW w:w="805" w:type="dxa"/>
            <w:shd w:val="clear" w:color="auto" w:fill="auto"/>
          </w:tcPr>
          <w:p w14:paraId="4BDDDED5" w14:textId="77777777" w:rsidR="00062FD1" w:rsidRPr="00062FD1" w:rsidRDefault="00062FD1" w:rsidP="00062FD1">
            <w:pPr>
              <w:numPr>
                <w:ilvl w:val="0"/>
                <w:numId w:val="6"/>
              </w:numPr>
              <w:spacing w:after="200" w:line="276" w:lineRule="auto"/>
              <w:jc w:val="both"/>
              <w:rPr>
                <w:color w:val="0000CC"/>
                <w:lang w:val="sq-AL"/>
              </w:rPr>
            </w:pPr>
          </w:p>
        </w:tc>
        <w:tc>
          <w:tcPr>
            <w:tcW w:w="5406" w:type="dxa"/>
            <w:shd w:val="clear" w:color="auto" w:fill="auto"/>
          </w:tcPr>
          <w:p w14:paraId="19BA67C6" w14:textId="77777777" w:rsidR="00062FD1" w:rsidRPr="00062FD1" w:rsidRDefault="00062FD1" w:rsidP="00062FD1">
            <w:pPr>
              <w:jc w:val="both"/>
              <w:rPr>
                <w:color w:val="0000CC"/>
                <w:lang w:val="sq-AL"/>
              </w:rPr>
            </w:pPr>
            <w:r w:rsidRPr="00062FD1">
              <w:rPr>
                <w:color w:val="0000CC"/>
                <w:lang w:val="sq-AL"/>
              </w:rPr>
              <w:t>Lehtësues</w:t>
            </w:r>
          </w:p>
        </w:tc>
        <w:tc>
          <w:tcPr>
            <w:tcW w:w="3139" w:type="dxa"/>
            <w:shd w:val="clear" w:color="auto" w:fill="auto"/>
          </w:tcPr>
          <w:p w14:paraId="1F2BDAF8" w14:textId="77777777" w:rsidR="00062FD1" w:rsidRPr="00062FD1" w:rsidRDefault="00062FD1" w:rsidP="00062FD1">
            <w:pPr>
              <w:jc w:val="both"/>
              <w:rPr>
                <w:color w:val="FF0000"/>
                <w:lang w:val="sq-AL"/>
              </w:rPr>
            </w:pPr>
            <w:r w:rsidRPr="00062FD1">
              <w:rPr>
                <w:color w:val="FF0000"/>
                <w:lang w:val="sq-AL"/>
              </w:rPr>
              <w:t>3.5- 5 orë mësimore/ditë</w:t>
            </w:r>
          </w:p>
        </w:tc>
      </w:tr>
      <w:tr w:rsidR="00062FD1" w:rsidRPr="00062FD1" w14:paraId="390F4D64" w14:textId="77777777" w:rsidTr="00D61F18">
        <w:tc>
          <w:tcPr>
            <w:tcW w:w="805" w:type="dxa"/>
            <w:shd w:val="clear" w:color="auto" w:fill="auto"/>
          </w:tcPr>
          <w:p w14:paraId="6206AA5D" w14:textId="77777777" w:rsidR="00062FD1" w:rsidRPr="00062FD1" w:rsidRDefault="00062FD1" w:rsidP="00062FD1">
            <w:pPr>
              <w:numPr>
                <w:ilvl w:val="0"/>
                <w:numId w:val="6"/>
              </w:numPr>
              <w:spacing w:after="200" w:line="276" w:lineRule="auto"/>
              <w:jc w:val="both"/>
              <w:rPr>
                <w:color w:val="0000CC"/>
                <w:lang w:val="sq-AL"/>
              </w:rPr>
            </w:pPr>
          </w:p>
        </w:tc>
        <w:tc>
          <w:tcPr>
            <w:tcW w:w="5406" w:type="dxa"/>
            <w:shd w:val="clear" w:color="auto" w:fill="auto"/>
          </w:tcPr>
          <w:p w14:paraId="34C2AC98" w14:textId="77777777" w:rsidR="00062FD1" w:rsidRPr="00062FD1" w:rsidRDefault="00062FD1" w:rsidP="00062FD1">
            <w:pPr>
              <w:jc w:val="both"/>
              <w:rPr>
                <w:color w:val="0000CC"/>
                <w:lang w:val="sq-AL"/>
              </w:rPr>
            </w:pPr>
            <w:r w:rsidRPr="00062FD1">
              <w:rPr>
                <w:color w:val="0000CC"/>
                <w:lang w:val="sq-AL"/>
              </w:rPr>
              <w:t>Moderatorë</w:t>
            </w:r>
          </w:p>
        </w:tc>
        <w:tc>
          <w:tcPr>
            <w:tcW w:w="3139" w:type="dxa"/>
            <w:shd w:val="clear" w:color="auto" w:fill="auto"/>
          </w:tcPr>
          <w:p w14:paraId="2B6411E5" w14:textId="77777777" w:rsidR="00062FD1" w:rsidRPr="00062FD1" w:rsidRDefault="00062FD1" w:rsidP="00062FD1">
            <w:pPr>
              <w:jc w:val="both"/>
              <w:rPr>
                <w:color w:val="FF0000"/>
                <w:lang w:val="sq-AL"/>
              </w:rPr>
            </w:pPr>
            <w:r w:rsidRPr="00062FD1">
              <w:rPr>
                <w:color w:val="FF0000"/>
                <w:lang w:val="sq-AL"/>
              </w:rPr>
              <w:t>1.5- 3 orë mësimore/ditë</w:t>
            </w:r>
          </w:p>
        </w:tc>
      </w:tr>
      <w:tr w:rsidR="00062FD1" w:rsidRPr="00062FD1" w14:paraId="7A0EEED4" w14:textId="77777777" w:rsidTr="00D61F18">
        <w:tc>
          <w:tcPr>
            <w:tcW w:w="805" w:type="dxa"/>
            <w:shd w:val="clear" w:color="auto" w:fill="auto"/>
          </w:tcPr>
          <w:p w14:paraId="1B18CEF2" w14:textId="77777777" w:rsidR="00062FD1" w:rsidRPr="00062FD1" w:rsidRDefault="00062FD1" w:rsidP="00062FD1">
            <w:pPr>
              <w:numPr>
                <w:ilvl w:val="0"/>
                <w:numId w:val="8"/>
              </w:numPr>
              <w:spacing w:after="200" w:line="276" w:lineRule="auto"/>
              <w:contextualSpacing/>
              <w:jc w:val="both"/>
              <w:rPr>
                <w:lang w:val="sq-AL" w:eastAsia="x-none"/>
              </w:rPr>
            </w:pPr>
          </w:p>
        </w:tc>
        <w:tc>
          <w:tcPr>
            <w:tcW w:w="5406" w:type="dxa"/>
            <w:shd w:val="clear" w:color="auto" w:fill="auto"/>
          </w:tcPr>
          <w:p w14:paraId="21C7D6AF" w14:textId="77777777" w:rsidR="00062FD1" w:rsidRPr="00062FD1" w:rsidRDefault="00062FD1" w:rsidP="00062FD1">
            <w:pPr>
              <w:jc w:val="both"/>
              <w:rPr>
                <w:b/>
                <w:color w:val="FF0000"/>
                <w:lang w:val="sq-AL"/>
              </w:rPr>
            </w:pPr>
            <w:r w:rsidRPr="00062FD1">
              <w:rPr>
                <w:b/>
                <w:color w:val="FF0000"/>
                <w:lang w:val="sq-AL"/>
              </w:rPr>
              <w:t>Botime dhe Publikime</w:t>
            </w:r>
          </w:p>
        </w:tc>
        <w:tc>
          <w:tcPr>
            <w:tcW w:w="3139" w:type="dxa"/>
            <w:shd w:val="clear" w:color="auto" w:fill="auto"/>
          </w:tcPr>
          <w:p w14:paraId="0A83B6F8" w14:textId="77777777" w:rsidR="00062FD1" w:rsidRPr="00062FD1" w:rsidRDefault="00062FD1" w:rsidP="00062FD1">
            <w:pPr>
              <w:jc w:val="both"/>
              <w:rPr>
                <w:color w:val="FF0000"/>
                <w:lang w:val="sq-AL"/>
              </w:rPr>
            </w:pPr>
          </w:p>
        </w:tc>
      </w:tr>
      <w:tr w:rsidR="00062FD1" w:rsidRPr="00062FD1" w14:paraId="52386A2A" w14:textId="77777777" w:rsidTr="00D61F18">
        <w:tc>
          <w:tcPr>
            <w:tcW w:w="805" w:type="dxa"/>
            <w:shd w:val="clear" w:color="auto" w:fill="auto"/>
          </w:tcPr>
          <w:p w14:paraId="29ED37B3" w14:textId="77777777" w:rsidR="00062FD1" w:rsidRPr="00062FD1" w:rsidRDefault="00062FD1" w:rsidP="00062FD1">
            <w:pPr>
              <w:numPr>
                <w:ilvl w:val="0"/>
                <w:numId w:val="22"/>
              </w:numPr>
              <w:spacing w:after="200" w:line="276" w:lineRule="auto"/>
              <w:contextualSpacing/>
              <w:jc w:val="both"/>
              <w:rPr>
                <w:lang w:val="sq-AL" w:eastAsia="x-none"/>
              </w:rPr>
            </w:pPr>
          </w:p>
        </w:tc>
        <w:tc>
          <w:tcPr>
            <w:tcW w:w="5406" w:type="dxa"/>
            <w:shd w:val="clear" w:color="auto" w:fill="auto"/>
          </w:tcPr>
          <w:p w14:paraId="0C7E8B19" w14:textId="77777777" w:rsidR="00062FD1" w:rsidRPr="00062FD1" w:rsidRDefault="00062FD1" w:rsidP="00062FD1">
            <w:pPr>
              <w:jc w:val="both"/>
              <w:rPr>
                <w:color w:val="FF0000"/>
                <w:lang w:val="sq-AL"/>
              </w:rPr>
            </w:pPr>
            <w:r w:rsidRPr="00062FD1">
              <w:rPr>
                <w:color w:val="FF0000"/>
                <w:lang w:val="sq-AL"/>
              </w:rPr>
              <w:t>Autor shkrimesh/Recencë/Oponencë</w:t>
            </w:r>
          </w:p>
        </w:tc>
        <w:tc>
          <w:tcPr>
            <w:tcW w:w="3139" w:type="dxa"/>
            <w:shd w:val="clear" w:color="auto" w:fill="auto"/>
          </w:tcPr>
          <w:p w14:paraId="6DAAF2FB" w14:textId="77777777" w:rsidR="00062FD1" w:rsidRPr="00062FD1" w:rsidRDefault="00062FD1" w:rsidP="00062FD1">
            <w:pPr>
              <w:jc w:val="both"/>
              <w:rPr>
                <w:color w:val="FF0000"/>
                <w:lang w:val="sq-AL"/>
              </w:rPr>
            </w:pPr>
            <w:r w:rsidRPr="00062FD1">
              <w:rPr>
                <w:color w:val="FF0000"/>
                <w:lang w:val="sq-AL"/>
              </w:rPr>
              <w:t>Sipas VKM Nr.120, datë 27.1.1997</w:t>
            </w:r>
          </w:p>
        </w:tc>
      </w:tr>
      <w:tr w:rsidR="00062FD1" w:rsidRPr="00062FD1" w14:paraId="4F17E1D1" w14:textId="77777777" w:rsidTr="00D61F18">
        <w:tc>
          <w:tcPr>
            <w:tcW w:w="805" w:type="dxa"/>
            <w:shd w:val="clear" w:color="auto" w:fill="auto"/>
          </w:tcPr>
          <w:p w14:paraId="594DA526" w14:textId="77777777" w:rsidR="00062FD1" w:rsidRPr="00062FD1" w:rsidRDefault="00062FD1" w:rsidP="00062FD1">
            <w:pPr>
              <w:numPr>
                <w:ilvl w:val="0"/>
                <w:numId w:val="22"/>
              </w:numPr>
              <w:spacing w:after="200" w:line="276" w:lineRule="auto"/>
              <w:contextualSpacing/>
              <w:jc w:val="both"/>
              <w:rPr>
                <w:lang w:val="sq-AL" w:eastAsia="x-none"/>
              </w:rPr>
            </w:pPr>
          </w:p>
        </w:tc>
        <w:tc>
          <w:tcPr>
            <w:tcW w:w="5406" w:type="dxa"/>
            <w:shd w:val="clear" w:color="auto" w:fill="auto"/>
          </w:tcPr>
          <w:p w14:paraId="12C57F1F" w14:textId="77777777" w:rsidR="00062FD1" w:rsidRPr="00062FD1" w:rsidRDefault="00062FD1" w:rsidP="00062FD1">
            <w:pPr>
              <w:jc w:val="both"/>
              <w:rPr>
                <w:color w:val="C00000"/>
                <w:lang w:val="sq-AL"/>
              </w:rPr>
            </w:pPr>
            <w:r w:rsidRPr="00062FD1">
              <w:rPr>
                <w:color w:val="C00000"/>
                <w:lang w:val="sq-AL"/>
              </w:rPr>
              <w:t>Përkthyes të artikujve shkencor të botimeve të SHM</w:t>
            </w:r>
          </w:p>
        </w:tc>
        <w:tc>
          <w:tcPr>
            <w:tcW w:w="3139" w:type="dxa"/>
            <w:shd w:val="clear" w:color="auto" w:fill="auto"/>
          </w:tcPr>
          <w:p w14:paraId="3DAA7359" w14:textId="77777777" w:rsidR="00062FD1" w:rsidRPr="00062FD1" w:rsidRDefault="00062FD1" w:rsidP="00062FD1">
            <w:pPr>
              <w:jc w:val="both"/>
              <w:rPr>
                <w:color w:val="C00000"/>
                <w:lang w:val="sq-AL"/>
              </w:rPr>
            </w:pPr>
            <w:r w:rsidRPr="00062FD1">
              <w:rPr>
                <w:color w:val="C00000"/>
                <w:lang w:val="sq-AL"/>
              </w:rPr>
              <w:t>Sipas VKM Nr.120, datë 27.1.1997</w:t>
            </w:r>
          </w:p>
        </w:tc>
      </w:tr>
    </w:tbl>
    <w:p w14:paraId="623EE983" w14:textId="77777777" w:rsidR="00062FD1" w:rsidRPr="00062FD1" w:rsidRDefault="00062FD1" w:rsidP="00062FD1">
      <w:pPr>
        <w:jc w:val="both"/>
        <w:rPr>
          <w:b/>
          <w:lang w:val="sq-AL"/>
        </w:rPr>
      </w:pPr>
    </w:p>
    <w:p w14:paraId="22913795" w14:textId="77777777" w:rsidR="00062FD1" w:rsidRPr="00062FD1" w:rsidRDefault="00062FD1" w:rsidP="00062FD1">
      <w:pPr>
        <w:jc w:val="both"/>
        <w:rPr>
          <w:rFonts w:eastAsia="Calibri"/>
          <w:b/>
          <w:lang w:val="sq-AL"/>
        </w:rPr>
      </w:pPr>
    </w:p>
    <w:p w14:paraId="4E6EA60E" w14:textId="77777777" w:rsidR="00CC25BB" w:rsidRDefault="00CC25BB" w:rsidP="00062FD1">
      <w:pPr>
        <w:jc w:val="center"/>
      </w:pPr>
    </w:p>
    <w:sectPr w:rsidR="00CC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6A8"/>
    <w:multiLevelType w:val="hybridMultilevel"/>
    <w:tmpl w:val="2E68C64E"/>
    <w:lvl w:ilvl="0" w:tplc="1858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1106C"/>
    <w:multiLevelType w:val="hybridMultilevel"/>
    <w:tmpl w:val="CFC41B72"/>
    <w:lvl w:ilvl="0" w:tplc="3606D0F2">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42225"/>
    <w:multiLevelType w:val="hybridMultilevel"/>
    <w:tmpl w:val="DB3C4DE2"/>
    <w:lvl w:ilvl="0" w:tplc="5B5C4042">
      <w:start w:val="1"/>
      <w:numFmt w:val="lowerLetter"/>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A4301"/>
    <w:multiLevelType w:val="hybridMultilevel"/>
    <w:tmpl w:val="96665290"/>
    <w:lvl w:ilvl="0" w:tplc="169CBAF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B7673"/>
    <w:multiLevelType w:val="hybridMultilevel"/>
    <w:tmpl w:val="214CD5D4"/>
    <w:lvl w:ilvl="0" w:tplc="748C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08A7"/>
    <w:multiLevelType w:val="hybridMultilevel"/>
    <w:tmpl w:val="DFF8DF46"/>
    <w:lvl w:ilvl="0" w:tplc="715A0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D7583"/>
    <w:multiLevelType w:val="hybridMultilevel"/>
    <w:tmpl w:val="F886F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82800"/>
    <w:multiLevelType w:val="hybridMultilevel"/>
    <w:tmpl w:val="ADFC3056"/>
    <w:lvl w:ilvl="0" w:tplc="0409001B">
      <w:start w:val="1"/>
      <w:numFmt w:val="lowerRoman"/>
      <w:lvlText w:val="%1."/>
      <w:lvlJc w:val="righ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2B482648"/>
    <w:multiLevelType w:val="hybridMultilevel"/>
    <w:tmpl w:val="3E023DCE"/>
    <w:lvl w:ilvl="0" w:tplc="1604FFC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0483E"/>
    <w:multiLevelType w:val="hybridMultilevel"/>
    <w:tmpl w:val="57A84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C4DBF"/>
    <w:multiLevelType w:val="hybridMultilevel"/>
    <w:tmpl w:val="4142C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136B7"/>
    <w:multiLevelType w:val="hybridMultilevel"/>
    <w:tmpl w:val="39E0A64E"/>
    <w:lvl w:ilvl="0" w:tplc="17789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7640B"/>
    <w:multiLevelType w:val="hybridMultilevel"/>
    <w:tmpl w:val="07F2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B1808"/>
    <w:multiLevelType w:val="multilevel"/>
    <w:tmpl w:val="F822D2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D02CCB"/>
    <w:multiLevelType w:val="hybridMultilevel"/>
    <w:tmpl w:val="2D76639A"/>
    <w:lvl w:ilvl="0" w:tplc="169CBAF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B264D"/>
    <w:multiLevelType w:val="hybridMultilevel"/>
    <w:tmpl w:val="FAB47998"/>
    <w:lvl w:ilvl="0" w:tplc="993AAD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D0347C"/>
    <w:multiLevelType w:val="hybridMultilevel"/>
    <w:tmpl w:val="5CB2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711A3"/>
    <w:multiLevelType w:val="hybridMultilevel"/>
    <w:tmpl w:val="F886F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64750"/>
    <w:multiLevelType w:val="hybridMultilevel"/>
    <w:tmpl w:val="D2606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14A41"/>
    <w:multiLevelType w:val="hybridMultilevel"/>
    <w:tmpl w:val="E198469A"/>
    <w:lvl w:ilvl="0" w:tplc="993AAD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A5EC5"/>
    <w:multiLevelType w:val="hybridMultilevel"/>
    <w:tmpl w:val="CFA8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D53770"/>
    <w:multiLevelType w:val="hybridMultilevel"/>
    <w:tmpl w:val="509CCF2C"/>
    <w:lvl w:ilvl="0" w:tplc="74B237E4">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E57100"/>
    <w:multiLevelType w:val="multilevel"/>
    <w:tmpl w:val="F822D2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B80967"/>
    <w:multiLevelType w:val="hybridMultilevel"/>
    <w:tmpl w:val="1308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
  </w:num>
  <w:num w:numId="4">
    <w:abstractNumId w:val="7"/>
  </w:num>
  <w:num w:numId="5">
    <w:abstractNumId w:val="6"/>
  </w:num>
  <w:num w:numId="6">
    <w:abstractNumId w:val="17"/>
  </w:num>
  <w:num w:numId="7">
    <w:abstractNumId w:val="13"/>
  </w:num>
  <w:num w:numId="8">
    <w:abstractNumId w:val="8"/>
  </w:num>
  <w:num w:numId="9">
    <w:abstractNumId w:val="21"/>
  </w:num>
  <w:num w:numId="10">
    <w:abstractNumId w:val="5"/>
  </w:num>
  <w:num w:numId="11">
    <w:abstractNumId w:val="9"/>
  </w:num>
  <w:num w:numId="12">
    <w:abstractNumId w:val="16"/>
  </w:num>
  <w:num w:numId="13">
    <w:abstractNumId w:val="20"/>
  </w:num>
  <w:num w:numId="14">
    <w:abstractNumId w:val="0"/>
  </w:num>
  <w:num w:numId="15">
    <w:abstractNumId w:val="12"/>
  </w:num>
  <w:num w:numId="16">
    <w:abstractNumId w:val="11"/>
  </w:num>
  <w:num w:numId="17">
    <w:abstractNumId w:val="23"/>
  </w:num>
  <w:num w:numId="18">
    <w:abstractNumId w:val="10"/>
  </w:num>
  <w:num w:numId="19">
    <w:abstractNumId w:val="15"/>
  </w:num>
  <w:num w:numId="20">
    <w:abstractNumId w:val="14"/>
  </w:num>
  <w:num w:numId="21">
    <w:abstractNumId w:val="3"/>
  </w:num>
  <w:num w:numId="22">
    <w:abstractNumId w:val="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EC"/>
    <w:rsid w:val="00062FD1"/>
    <w:rsid w:val="00082582"/>
    <w:rsid w:val="000E22AD"/>
    <w:rsid w:val="000F5938"/>
    <w:rsid w:val="00135FCE"/>
    <w:rsid w:val="00253E2A"/>
    <w:rsid w:val="00266F48"/>
    <w:rsid w:val="00326813"/>
    <w:rsid w:val="003860A5"/>
    <w:rsid w:val="004C0A60"/>
    <w:rsid w:val="004C717A"/>
    <w:rsid w:val="005015C7"/>
    <w:rsid w:val="00593722"/>
    <w:rsid w:val="005B3544"/>
    <w:rsid w:val="005B6AE0"/>
    <w:rsid w:val="00610F53"/>
    <w:rsid w:val="00643EBE"/>
    <w:rsid w:val="00667B56"/>
    <w:rsid w:val="006B2FEC"/>
    <w:rsid w:val="006D1323"/>
    <w:rsid w:val="00725E12"/>
    <w:rsid w:val="008E3EB2"/>
    <w:rsid w:val="00911F40"/>
    <w:rsid w:val="009235E1"/>
    <w:rsid w:val="00937215"/>
    <w:rsid w:val="009865AE"/>
    <w:rsid w:val="0099405D"/>
    <w:rsid w:val="009C6D50"/>
    <w:rsid w:val="00A061F2"/>
    <w:rsid w:val="00A112D9"/>
    <w:rsid w:val="00AD14C1"/>
    <w:rsid w:val="00B00ED4"/>
    <w:rsid w:val="00B36B0D"/>
    <w:rsid w:val="00B97133"/>
    <w:rsid w:val="00C10AF4"/>
    <w:rsid w:val="00CC25BB"/>
    <w:rsid w:val="00CE39B6"/>
    <w:rsid w:val="00CF5429"/>
    <w:rsid w:val="00D843C9"/>
    <w:rsid w:val="00D9714C"/>
    <w:rsid w:val="00E33426"/>
    <w:rsid w:val="00E4512B"/>
    <w:rsid w:val="00EA6C95"/>
    <w:rsid w:val="00F564E2"/>
    <w:rsid w:val="00F76E0D"/>
    <w:rsid w:val="00F770E3"/>
    <w:rsid w:val="00FA34B8"/>
    <w:rsid w:val="00FC006E"/>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2C9E"/>
  <w15:docId w15:val="{806FDB41-7C1A-4A29-AEA5-1E293AB1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CC"/>
        <w:sz w:val="24"/>
        <w:szCs w:val="25"/>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EC"/>
    <w:pPr>
      <w:spacing w:after="0" w:line="240" w:lineRule="auto"/>
    </w:pPr>
    <w:rPr>
      <w:rFonts w:eastAsia="MS Mincho"/>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B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B2FEC"/>
    <w:rPr>
      <w:rFonts w:ascii="Courier New" w:eastAsia="MS Mincho" w:hAnsi="Courier New"/>
      <w:color w:val="auto"/>
      <w:sz w:val="20"/>
      <w:szCs w:val="20"/>
      <w:lang w:val="x-none" w:eastAsia="x-none"/>
    </w:rPr>
  </w:style>
  <w:style w:type="paragraph" w:styleId="ListParagraph">
    <w:name w:val="List Paragraph"/>
    <w:basedOn w:val="Normal"/>
    <w:link w:val="ListParagraphChar"/>
    <w:uiPriority w:val="34"/>
    <w:qFormat/>
    <w:rsid w:val="006B2FEC"/>
    <w:pPr>
      <w:ind w:left="720"/>
      <w:contextualSpacing/>
    </w:pPr>
    <w:rPr>
      <w:rFonts w:eastAsia="Times New Roman"/>
      <w:sz w:val="20"/>
      <w:szCs w:val="20"/>
      <w:lang w:val="sq-AL"/>
    </w:rPr>
  </w:style>
  <w:style w:type="character" w:customStyle="1" w:styleId="ListParagraphChar">
    <w:name w:val="List Paragraph Char"/>
    <w:link w:val="ListParagraph"/>
    <w:uiPriority w:val="34"/>
    <w:rsid w:val="006B2FEC"/>
    <w:rPr>
      <w:rFonts w:eastAsia="Times New Roman"/>
      <w:color w:val="auto"/>
      <w:sz w:val="20"/>
      <w:szCs w:val="20"/>
      <w:lang w:val="sq-AL"/>
    </w:rPr>
  </w:style>
  <w:style w:type="paragraph" w:styleId="NormalWeb">
    <w:name w:val="Normal (Web)"/>
    <w:basedOn w:val="Normal"/>
    <w:uiPriority w:val="99"/>
    <w:unhideWhenUsed/>
    <w:rsid w:val="006B2FEC"/>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6B2FEC"/>
    <w:rPr>
      <w:rFonts w:ascii="Tahoma" w:hAnsi="Tahoma" w:cs="Tahoma"/>
      <w:sz w:val="16"/>
      <w:szCs w:val="16"/>
    </w:rPr>
  </w:style>
  <w:style w:type="character" w:customStyle="1" w:styleId="BalloonTextChar">
    <w:name w:val="Balloon Text Char"/>
    <w:basedOn w:val="DefaultParagraphFont"/>
    <w:link w:val="BalloonText"/>
    <w:uiPriority w:val="99"/>
    <w:semiHidden/>
    <w:rsid w:val="006B2FEC"/>
    <w:rPr>
      <w:rFonts w:ascii="Tahoma" w:eastAsia="MS Mincho" w:hAnsi="Tahoma" w:cs="Tahoma"/>
      <w:color w:val="auto"/>
      <w:sz w:val="16"/>
      <w:szCs w:val="16"/>
    </w:rPr>
  </w:style>
  <w:style w:type="paragraph" w:styleId="NoSpacing">
    <w:name w:val="No Spacing"/>
    <w:uiPriority w:val="1"/>
    <w:qFormat/>
    <w:rsid w:val="00082582"/>
    <w:pPr>
      <w:spacing w:after="0" w:line="240" w:lineRule="auto"/>
    </w:pPr>
    <w:rPr>
      <w:rFonts w:ascii="Calibri" w:eastAsia="Calibri" w:hAnsi="Calibri"/>
      <w:color w:val="auto"/>
      <w:sz w:val="22"/>
      <w:szCs w:val="22"/>
      <w:lang w:val="en-GB"/>
    </w:rPr>
  </w:style>
  <w:style w:type="character" w:styleId="CommentReference">
    <w:name w:val="annotation reference"/>
    <w:uiPriority w:val="99"/>
    <w:semiHidden/>
    <w:unhideWhenUsed/>
    <w:rsid w:val="00CF5429"/>
    <w:rPr>
      <w:sz w:val="16"/>
      <w:szCs w:val="16"/>
    </w:rPr>
  </w:style>
  <w:style w:type="paragraph" w:styleId="CommentText">
    <w:name w:val="annotation text"/>
    <w:basedOn w:val="Normal"/>
    <w:link w:val="CommentTextChar"/>
    <w:uiPriority w:val="99"/>
    <w:semiHidden/>
    <w:unhideWhenUsed/>
    <w:rsid w:val="00CF5429"/>
    <w:pPr>
      <w:spacing w:after="200"/>
    </w:pPr>
    <w:rPr>
      <w:rFonts w:ascii="Calibri" w:eastAsia="Calibri" w:hAnsi="Calibri"/>
      <w:sz w:val="20"/>
      <w:szCs w:val="20"/>
      <w:lang w:val="sq-AL" w:eastAsia="x-none"/>
    </w:rPr>
  </w:style>
  <w:style w:type="character" w:customStyle="1" w:styleId="CommentTextChar">
    <w:name w:val="Comment Text Char"/>
    <w:basedOn w:val="DefaultParagraphFont"/>
    <w:link w:val="CommentText"/>
    <w:uiPriority w:val="99"/>
    <w:semiHidden/>
    <w:rsid w:val="00CF5429"/>
    <w:rPr>
      <w:rFonts w:ascii="Calibri" w:eastAsia="Calibri" w:hAnsi="Calibri"/>
      <w:color w:val="auto"/>
      <w:sz w:val="20"/>
      <w:szCs w:val="20"/>
      <w:lang w:val="sq-AL" w:eastAsia="x-none"/>
    </w:rPr>
  </w:style>
  <w:style w:type="paragraph" w:styleId="CommentSubject">
    <w:name w:val="annotation subject"/>
    <w:basedOn w:val="CommentText"/>
    <w:next w:val="CommentText"/>
    <w:link w:val="CommentSubjectChar"/>
    <w:uiPriority w:val="99"/>
    <w:semiHidden/>
    <w:unhideWhenUsed/>
    <w:rsid w:val="00AD14C1"/>
    <w:pPr>
      <w:spacing w:after="0"/>
    </w:pPr>
    <w:rPr>
      <w:rFonts w:ascii="Times New Roman" w:eastAsia="MS Mincho" w:hAnsi="Times New Roman"/>
      <w:b/>
      <w:bCs/>
      <w:lang w:val="en-US" w:eastAsia="en-US"/>
    </w:rPr>
  </w:style>
  <w:style w:type="character" w:customStyle="1" w:styleId="CommentSubjectChar">
    <w:name w:val="Comment Subject Char"/>
    <w:basedOn w:val="CommentTextChar"/>
    <w:link w:val="CommentSubject"/>
    <w:uiPriority w:val="99"/>
    <w:semiHidden/>
    <w:rsid w:val="00AD14C1"/>
    <w:rPr>
      <w:rFonts w:ascii="Calibri" w:eastAsia="MS Mincho" w:hAnsi="Calibri"/>
      <w:b/>
      <w:bCs/>
      <w:color w:val="auto"/>
      <w:sz w:val="20"/>
      <w:szCs w:val="20"/>
      <w:lang w:val="sq-A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Miran_Kopani</dc:creator>
  <cp:lastModifiedBy>Ela</cp:lastModifiedBy>
  <cp:revision>21</cp:revision>
  <cp:lastPrinted>2022-11-01T10:59:00Z</cp:lastPrinted>
  <dcterms:created xsi:type="dcterms:W3CDTF">2021-04-29T08:22:00Z</dcterms:created>
  <dcterms:modified xsi:type="dcterms:W3CDTF">2023-11-02T09:52:00Z</dcterms:modified>
</cp:coreProperties>
</file>