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1.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73BF" w:rsidRPr="006621AA" w:rsidRDefault="007D5A1A" w:rsidP="00B70876">
      <w:pPr>
        <w:tabs>
          <w:tab w:val="left" w:pos="10260"/>
        </w:tabs>
      </w:pPr>
      <w:r w:rsidRPr="006621AA">
        <w:rPr>
          <w:noProof/>
          <w:lang w:eastAsia="en-US"/>
        </w:rPr>
        <w:drawing>
          <wp:anchor distT="0" distB="0" distL="114300" distR="114300" simplePos="0" relativeHeight="251658240" behindDoc="1" locked="0" layoutInCell="1" allowOverlap="1" wp14:anchorId="555A1AED" wp14:editId="7CC7DC26">
            <wp:simplePos x="0" y="0"/>
            <wp:positionH relativeFrom="column">
              <wp:posOffset>-742950</wp:posOffset>
            </wp:positionH>
            <wp:positionV relativeFrom="paragraph">
              <wp:posOffset>-638174</wp:posOffset>
            </wp:positionV>
            <wp:extent cx="7971888" cy="7736840"/>
            <wp:effectExtent l="0" t="0" r="0" b="0"/>
            <wp:wrapNone/>
            <wp:docPr id="5" name="Picture 5" descr="C:\Users\Imagine7\Desktop\word\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agine7\Desktop\word\image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74730" cy="7739598"/>
                    </a:xfrm>
                    <a:prstGeom prst="rect">
                      <a:avLst/>
                    </a:prstGeom>
                    <a:noFill/>
                    <a:ln>
                      <a:noFill/>
                    </a:ln>
                  </pic:spPr>
                </pic:pic>
              </a:graphicData>
            </a:graphic>
            <wp14:sizeRelV relativeFrom="margin">
              <wp14:pctHeight>0</wp14:pctHeight>
            </wp14:sizeRelV>
          </wp:anchor>
        </w:drawing>
      </w:r>
      <w:r>
        <w:rPr>
          <w:noProof/>
          <w:lang w:eastAsia="en-US"/>
        </w:rPr>
        <w:pict>
          <v:shapetype id="_x0000_t202" coordsize="21600,21600" o:spt="202" path="m,l,21600r21600,l21600,xe">
            <v:stroke joinstyle="miter"/>
            <v:path gradientshapeok="t" o:connecttype="rect"/>
          </v:shapetype>
          <v:shape id="Text Box 172" o:spid="_x0000_s1027" type="#_x0000_t202" style="position:absolute;margin-left:-35.8pt;margin-top:-34.35pt;width:587.65pt;height:3.55pt;z-index:2516802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" filled="f" stroked="f">
            <v:textbox style="mso-next-textbox:#Text Box 172">
              <w:txbxContent>
                <w:p w:rsidR="005372E3" w:rsidRPr="006621AA" w:rsidRDefault="005372E3" w:rsidP="001F452F">
                  <w:pPr>
                    <w:jc w:val="center"/>
                    <w:rPr>
                      <w:color w:val="FFFFFF"/>
                      <w:sz w:val="60"/>
                    </w:rPr>
                  </w:pPr>
                </w:p>
              </w:txbxContent>
            </v:textbox>
          </v:shape>
        </w:pict>
      </w:r>
      <w:r w:rsidR="00CF3AE0">
        <w:rPr>
          <w:noProof/>
          <w:lang w:eastAsia="en-US"/>
        </w:rPr>
        <w:pict>
          <v:rect id="Rectangle 186" o:spid="_x0000_s1026" style="position:absolute;margin-left:-59.75pt;margin-top:530.6pt;width:629.25pt;height:224.3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" fillcolor="#4f81bd" stroked="f"/>
        </w:pict>
      </w:r>
      <w:r w:rsidR="00CF3AE0">
        <w:rPr>
          <w:noProof/>
          <w:lang w:eastAsia="en-US"/>
        </w:rPr>
        <w:pict>
          <v:rect id="Rectangle 187" o:spid="_x0000_s1036" style="position:absolute;margin-left:365.1pt;margin-top:530.6pt;width:199.15pt;height:235.2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" fillcolor="#c0504d" stroked="f"/>
        </w:pict>
      </w: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1C3E2F" w:rsidRPr="006621AA" w:rsidRDefault="001C3E2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4A73BF" w:rsidRPr="006621AA" w:rsidRDefault="004A73BF" w:rsidP="00B70876">
      <w:pPr>
        <w:tabs>
          <w:tab w:val="left" w:pos="10260"/>
        </w:tabs>
      </w:pPr>
    </w:p>
    <w:p w:rsidR="00B70876" w:rsidRPr="006621AA" w:rsidRDefault="00B70876" w:rsidP="00B70876">
      <w:pPr>
        <w:tabs>
          <w:tab w:val="left" w:pos="10260"/>
        </w:tabs>
      </w:pPr>
    </w:p>
    <w:p w:rsidR="001351ED" w:rsidRPr="006621AA" w:rsidRDefault="001351ED" w:rsidP="001351ED">
      <w:pPr>
        <w:tabs>
          <w:tab w:val="left" w:pos="10260"/>
        </w:tabs>
      </w:pPr>
    </w:p>
    <w:p w:rsidR="001351ED" w:rsidRPr="006621AA" w:rsidRDefault="00CF3AE0">
      <w:r>
        <w:rPr>
          <w:noProof/>
          <w:lang w:eastAsia="en-US"/>
        </w:rPr>
        <w:pict>
          <v:shape id="Text Box 4" o:spid="_x0000_s1028" type="#_x0000_t202" style="position:absolute;margin-left:-40.3pt;margin-top:600pt;width:402.5pt;height:170.6pt;z-index:251652608;visibility:visible;mso-wrap-distance-left:2.88pt;mso-wrap-distance-top:2.88pt;mso-wrap-distance-right:2.88pt;mso-wrap-distance-bottom:2.88pt;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" filled="f" fillcolor="#fffffe" stroked="f" strokecolor="#212120" insetpen="t">
            <v:textbox style="mso-next-textbox:#Text Box 4" inset="2.88pt,2.88pt,2.88pt,2.88pt">
              <w:txbxContent>
                <w:p w:rsidR="007D5A1A" w:rsidRDefault="007D5A1A" w:rsidP="00696F52">
                  <w:pPr>
                    <w:jc w:val="center"/>
                    <w:rPr>
                      <w:color w:val="FFFFFF" w:themeColor="background1"/>
                      <w:sz w:val="52"/>
                      <w:szCs w:val="68"/>
                    </w:rPr>
                  </w:pPr>
                </w:p>
                <w:p w:rsidR="00696F52" w:rsidRDefault="007D5A1A" w:rsidP="00696F52">
                  <w:pPr>
                    <w:jc w:val="center"/>
                    <w:rPr>
                      <w:color w:val="FFFFFF" w:themeColor="background1"/>
                      <w:sz w:val="52"/>
                      <w:szCs w:val="68"/>
                    </w:rPr>
                  </w:pPr>
                  <w:r w:rsidRPr="007D5A1A">
                    <w:rPr>
                      <w:color w:val="FFFFFF" w:themeColor="background1"/>
                      <w:sz w:val="52"/>
                      <w:szCs w:val="68"/>
                    </w:rPr>
                    <w:t>Raporti i Veprimtarisë Akademike të Shkollës së</w:t>
                  </w:r>
                  <w:r w:rsidR="00696F52" w:rsidRPr="007D5A1A">
                    <w:rPr>
                      <w:color w:val="FFFFFF" w:themeColor="background1"/>
                      <w:sz w:val="52"/>
                      <w:szCs w:val="68"/>
                    </w:rPr>
                    <w:t xml:space="preserve"> Magjistraturës</w:t>
                  </w:r>
                </w:p>
                <w:p w:rsidR="007D5A1A" w:rsidRPr="007D5A1A" w:rsidRDefault="007D5A1A" w:rsidP="00696F52">
                  <w:pPr>
                    <w:jc w:val="center"/>
                    <w:rPr>
                      <w:color w:val="FFFFFF" w:themeColor="background1"/>
                      <w:sz w:val="52"/>
                      <w:szCs w:val="68"/>
                    </w:rPr>
                  </w:pPr>
                </w:p>
                <w:p w:rsidR="007D5A1A" w:rsidRPr="007D5A1A" w:rsidRDefault="007D5A1A" w:rsidP="00696F52">
                  <w:pPr>
                    <w:jc w:val="center"/>
                    <w:rPr>
                      <w:color w:val="FFFFFF" w:themeColor="background1"/>
                      <w:sz w:val="52"/>
                      <w:szCs w:val="68"/>
                    </w:rPr>
                  </w:pPr>
                  <w:r>
                    <w:rPr>
                      <w:color w:val="FFFFFF" w:themeColor="background1"/>
                      <w:sz w:val="52"/>
                      <w:szCs w:val="68"/>
                    </w:rPr>
                    <w:t xml:space="preserve">Viti </w:t>
                  </w:r>
                  <w:r w:rsidRPr="007D5A1A">
                    <w:rPr>
                      <w:color w:val="FFFFFF" w:themeColor="background1"/>
                      <w:sz w:val="52"/>
                      <w:szCs w:val="68"/>
                    </w:rPr>
                    <w:t>2017-2018</w:t>
                  </w:r>
                </w:p>
                <w:p w:rsidR="00E86793" w:rsidRPr="00E86793" w:rsidRDefault="00E86793" w:rsidP="00FD7487">
                  <w:pPr>
                    <w:rPr>
                      <w:rStyle w:val="sowc"/>
                      <w:b/>
                      <w:color w:val="FFFFFF" w:themeColor="background1"/>
                      <w:sz w:val="28"/>
                      <w:szCs w:val="40"/>
                    </w:rPr>
                  </w:pPr>
                </w:p>
              </w:txbxContent>
            </v:textbox>
            <w10:wrap anchory="page"/>
          </v:shape>
        </w:pict>
      </w:r>
      <w:r>
        <w:rPr>
          <w:noProof/>
          <w:lang w:eastAsia="en-US"/>
        </w:rPr>
        <w:pict>
          <v:shape id="Text Box 166" o:spid="_x0000_s1035" type="#_x0000_t202" style="position:absolute;margin-left:380.05pt;margin-top:235.55pt;width:168.1pt;height:159.2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xmuAIAALw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" filled="f" stroked="f">
            <v:textbox>
              <w:txbxContent>
                <w:p w:rsidR="005372E3" w:rsidRPr="006621AA" w:rsidRDefault="005372E3" w:rsidP="005372E3">
                  <w:pPr>
                    <w:jc w:val="center"/>
                    <w:rPr>
                      <w:color w:val="FFFFFF" w:themeColor="background1"/>
                      <w:sz w:val="28"/>
                      <w:szCs w:val="38"/>
                    </w:rPr>
                  </w:pPr>
                  <w:r w:rsidRPr="005372E3">
                    <w:rPr>
                      <w:noProof/>
                      <w:lang w:eastAsia="en-US"/>
                    </w:rPr>
                    <w:drawing>
                      <wp:inline distT="0" distB="0" distL="0" distR="0">
                        <wp:extent cx="1352550" cy="1352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txbxContent>
            </v:textbox>
          </v:shape>
        </w:pict>
      </w:r>
      <w:r w:rsidR="001351ED" w:rsidRPr="006621AA">
        <w:br w:type="page"/>
      </w:r>
    </w:p>
    <w:p w:rsidR="00132A79" w:rsidRDefault="00132A79" w:rsidP="001351ED">
      <w:pPr>
        <w:tabs>
          <w:tab w:val="left" w:pos="10260"/>
        </w:tabs>
        <w:jc w:val="center"/>
        <w:rPr>
          <w:b/>
          <w:bCs/>
          <w:color w:val="CC9966" w:themeColor="accent2"/>
          <w:kern w:val="32"/>
          <w:sz w:val="36"/>
        </w:rPr>
      </w:pPr>
    </w:p>
    <w:p w:rsidR="00B70876" w:rsidRDefault="00132A79" w:rsidP="001351ED">
      <w:pPr>
        <w:tabs>
          <w:tab w:val="left" w:pos="10260"/>
        </w:tabs>
        <w:jc w:val="center"/>
        <w:rPr>
          <w:b/>
          <w:bCs/>
          <w:color w:val="CC9966" w:themeColor="accent2"/>
          <w:kern w:val="32"/>
          <w:sz w:val="36"/>
        </w:rPr>
      </w:pPr>
      <w:r>
        <w:rPr>
          <w:b/>
          <w:bCs/>
          <w:color w:val="CC9966" w:themeColor="accent2"/>
          <w:kern w:val="32"/>
          <w:sz w:val="36"/>
        </w:rPr>
        <w:t>P</w:t>
      </w:r>
      <w:r w:rsidRPr="00132A79">
        <w:rPr>
          <w:b/>
          <w:bCs/>
          <w:color w:val="CC9966" w:themeColor="accent2"/>
          <w:kern w:val="32"/>
          <w:sz w:val="36"/>
        </w:rPr>
        <w:t>Ë</w:t>
      </w:r>
      <w:r>
        <w:rPr>
          <w:b/>
          <w:bCs/>
          <w:color w:val="CC9966" w:themeColor="accent2"/>
          <w:kern w:val="32"/>
          <w:sz w:val="36"/>
        </w:rPr>
        <w:t>RMBAJTJA</w:t>
      </w:r>
    </w:p>
    <w:p w:rsidR="00132A79" w:rsidRDefault="00132A79" w:rsidP="001351ED">
      <w:pPr>
        <w:tabs>
          <w:tab w:val="left" w:pos="10260"/>
        </w:tabs>
        <w:jc w:val="center"/>
        <w:rPr>
          <w:b/>
          <w:bCs/>
          <w:color w:val="CC9966" w:themeColor="accent2"/>
          <w:kern w:val="32"/>
          <w:sz w:val="36"/>
        </w:rPr>
      </w:pPr>
    </w:p>
    <w:p w:rsidR="00132A79" w:rsidRPr="00132A79" w:rsidRDefault="00132A79" w:rsidP="005C2687">
      <w:pPr>
        <w:pStyle w:val="ListParagraph"/>
        <w:numPr>
          <w:ilvl w:val="0"/>
          <w:numId w:val="1"/>
        </w:numPr>
        <w:tabs>
          <w:tab w:val="left" w:pos="10260"/>
        </w:tabs>
        <w:spacing w:line="276" w:lineRule="auto"/>
        <w:rPr>
          <w:b/>
          <w:color w:val="7F5034" w:themeColor="accent1"/>
          <w:sz w:val="28"/>
        </w:rPr>
      </w:pPr>
      <w:r w:rsidRPr="00132A79">
        <w:rPr>
          <w:b/>
          <w:color w:val="7F5034" w:themeColor="accent1"/>
          <w:sz w:val="28"/>
        </w:rPr>
        <w:t>PROGRAMI I FORMIMIT FILLESTAR</w:t>
      </w:r>
    </w:p>
    <w:p w:rsidR="00132A79" w:rsidRPr="00132A79" w:rsidRDefault="00132A79" w:rsidP="005C2687">
      <w:pPr>
        <w:pStyle w:val="ListParagraph"/>
        <w:numPr>
          <w:ilvl w:val="1"/>
          <w:numId w:val="1"/>
        </w:numPr>
        <w:tabs>
          <w:tab w:val="left" w:pos="10260"/>
        </w:tabs>
        <w:spacing w:line="276" w:lineRule="auto"/>
      </w:pPr>
      <w:r w:rsidRPr="00132A79">
        <w:t>Objektivat e Programit të Formimit Fillestar për vitin akademik 2017-2018</w:t>
      </w:r>
    </w:p>
    <w:p w:rsidR="00132A79" w:rsidRPr="00132A79" w:rsidRDefault="00132A79" w:rsidP="005C2687">
      <w:pPr>
        <w:pStyle w:val="ListParagraph"/>
        <w:numPr>
          <w:ilvl w:val="1"/>
          <w:numId w:val="1"/>
        </w:numPr>
        <w:tabs>
          <w:tab w:val="left" w:pos="10260"/>
        </w:tabs>
        <w:spacing w:line="276" w:lineRule="auto"/>
      </w:pPr>
      <w:r>
        <w:t xml:space="preserve"> </w:t>
      </w:r>
      <w:r w:rsidRPr="00132A79">
        <w:t>Realizimi i programit mësimor të Trajnimit Fillestar për vitin akademik 2017-2018</w:t>
      </w:r>
    </w:p>
    <w:p w:rsidR="00132A79" w:rsidRPr="00132A79" w:rsidRDefault="00132A79" w:rsidP="00132A79">
      <w:pPr>
        <w:pStyle w:val="ListParagraph"/>
        <w:tabs>
          <w:tab w:val="left" w:pos="10260"/>
        </w:tabs>
        <w:spacing w:line="276" w:lineRule="auto"/>
        <w:ind w:left="792"/>
      </w:pPr>
      <w:r w:rsidRPr="00132A79">
        <w:t>1.2.1 Mbi provimin e pranimit në Shkollën e Magjistraturës për vitin akademik 2017-2018</w:t>
      </w:r>
    </w:p>
    <w:p w:rsidR="00132A79" w:rsidRPr="00132A79" w:rsidRDefault="00132A79" w:rsidP="005C2687">
      <w:pPr>
        <w:pStyle w:val="ListParagraph"/>
        <w:numPr>
          <w:ilvl w:val="1"/>
          <w:numId w:val="1"/>
        </w:numPr>
        <w:tabs>
          <w:tab w:val="left" w:pos="10260"/>
        </w:tabs>
        <w:spacing w:line="276" w:lineRule="auto"/>
      </w:pPr>
      <w:r>
        <w:t xml:space="preserve"> </w:t>
      </w:r>
      <w:r w:rsidRPr="00132A79">
        <w:t>Realizimi i programit të vitit të parë të Shkollës</w:t>
      </w:r>
    </w:p>
    <w:p w:rsidR="00132A79" w:rsidRPr="00132A79" w:rsidRDefault="00132A79" w:rsidP="005C2687">
      <w:pPr>
        <w:pStyle w:val="ListParagraph"/>
        <w:numPr>
          <w:ilvl w:val="1"/>
          <w:numId w:val="1"/>
        </w:numPr>
        <w:tabs>
          <w:tab w:val="left" w:pos="10260"/>
        </w:tabs>
        <w:spacing w:line="276" w:lineRule="auto"/>
      </w:pPr>
      <w:r>
        <w:t xml:space="preserve"> </w:t>
      </w:r>
      <w:r w:rsidRPr="00132A79">
        <w:t>Realizimi i programit mësimor të vitit të dytë të Shkollës</w:t>
      </w:r>
    </w:p>
    <w:p w:rsidR="00132A79" w:rsidRPr="00132A79" w:rsidRDefault="00132A79" w:rsidP="00132A79">
      <w:pPr>
        <w:pStyle w:val="ListParagraph"/>
        <w:tabs>
          <w:tab w:val="left" w:pos="10260"/>
        </w:tabs>
        <w:spacing w:line="276" w:lineRule="auto"/>
        <w:ind w:left="792"/>
      </w:pPr>
      <w:r w:rsidRPr="00132A79">
        <w:t>1.4.1 Plani mësimor i vitit të dytë</w:t>
      </w:r>
    </w:p>
    <w:p w:rsidR="00132A79" w:rsidRPr="00132A79" w:rsidRDefault="00132A79" w:rsidP="005C2687">
      <w:pPr>
        <w:pStyle w:val="ListParagraph"/>
        <w:numPr>
          <w:ilvl w:val="1"/>
          <w:numId w:val="1"/>
        </w:numPr>
        <w:tabs>
          <w:tab w:val="left" w:pos="10260"/>
        </w:tabs>
        <w:spacing w:line="276" w:lineRule="auto"/>
      </w:pPr>
      <w:r>
        <w:t xml:space="preserve"> </w:t>
      </w:r>
      <w:r w:rsidRPr="00132A79">
        <w:t xml:space="preserve">Viti i tretë </w:t>
      </w:r>
    </w:p>
    <w:p w:rsidR="00132A79" w:rsidRPr="00132A79" w:rsidRDefault="00132A79" w:rsidP="00132A79">
      <w:pPr>
        <w:tabs>
          <w:tab w:val="left" w:pos="10260"/>
        </w:tabs>
        <w:jc w:val="center"/>
        <w:rPr>
          <w:b/>
          <w:bCs/>
          <w:color w:val="CC9966" w:themeColor="accent2"/>
          <w:kern w:val="32"/>
          <w:sz w:val="36"/>
        </w:rPr>
      </w:pPr>
    </w:p>
    <w:p w:rsidR="00132A79" w:rsidRPr="00132A79" w:rsidRDefault="00132A79" w:rsidP="005C2687">
      <w:pPr>
        <w:pStyle w:val="ListParagraph"/>
        <w:numPr>
          <w:ilvl w:val="0"/>
          <w:numId w:val="1"/>
        </w:numPr>
        <w:tabs>
          <w:tab w:val="left" w:pos="10260"/>
        </w:tabs>
        <w:spacing w:line="276" w:lineRule="auto"/>
        <w:rPr>
          <w:b/>
          <w:color w:val="7F5034" w:themeColor="accent1"/>
          <w:sz w:val="28"/>
        </w:rPr>
      </w:pPr>
      <w:r w:rsidRPr="00132A79">
        <w:rPr>
          <w:b/>
          <w:color w:val="7F5034" w:themeColor="accent1"/>
          <w:sz w:val="28"/>
        </w:rPr>
        <w:t>PROGRAMI I FORMIMIT VAZHDUES</w:t>
      </w:r>
    </w:p>
    <w:p w:rsidR="00132A79" w:rsidRPr="00132A79" w:rsidRDefault="00132A79" w:rsidP="005C2687">
      <w:pPr>
        <w:pStyle w:val="ListParagraph"/>
        <w:numPr>
          <w:ilvl w:val="1"/>
          <w:numId w:val="1"/>
        </w:numPr>
        <w:tabs>
          <w:tab w:val="left" w:pos="10260"/>
        </w:tabs>
        <w:spacing w:line="276" w:lineRule="auto"/>
      </w:pPr>
      <w:r w:rsidRPr="00132A79">
        <w:t>Realizimi i Programit të Formimit Vazhdues për vitin akademik 2017-2018</w:t>
      </w:r>
    </w:p>
    <w:p w:rsidR="00132A79" w:rsidRPr="00132A79" w:rsidRDefault="00132A79" w:rsidP="005C2687">
      <w:pPr>
        <w:pStyle w:val="ListParagraph"/>
        <w:numPr>
          <w:ilvl w:val="1"/>
          <w:numId w:val="1"/>
        </w:numPr>
        <w:tabs>
          <w:tab w:val="left" w:pos="10260"/>
        </w:tabs>
        <w:spacing w:line="276" w:lineRule="auto"/>
      </w:pPr>
      <w:r w:rsidRPr="00132A79">
        <w:t>Përmbajtja dhe tematika e Programit të Formimit Vazhdues për vitin akademik 2017- 2018</w:t>
      </w:r>
    </w:p>
    <w:p w:rsidR="00132A79" w:rsidRPr="00132A79" w:rsidRDefault="00132A79" w:rsidP="005C2687">
      <w:pPr>
        <w:pStyle w:val="ListParagraph"/>
        <w:numPr>
          <w:ilvl w:val="1"/>
          <w:numId w:val="1"/>
        </w:numPr>
        <w:tabs>
          <w:tab w:val="left" w:pos="10260"/>
        </w:tabs>
        <w:spacing w:line="276" w:lineRule="auto"/>
      </w:pPr>
      <w:r w:rsidRPr="00132A79">
        <w:t>Organizimi i sesioneve trajnuese dhe rezultatet</w:t>
      </w:r>
      <w:bookmarkStart w:id="0" w:name="_GoBack"/>
      <w:bookmarkEnd w:id="0"/>
    </w:p>
    <w:p w:rsidR="00132A79" w:rsidRPr="00132A79" w:rsidRDefault="00132A79" w:rsidP="00A32124">
      <w:pPr>
        <w:pStyle w:val="ListParagraph"/>
        <w:tabs>
          <w:tab w:val="left" w:pos="10260"/>
        </w:tabs>
        <w:spacing w:line="276" w:lineRule="auto"/>
        <w:ind w:left="792"/>
      </w:pPr>
      <w:r w:rsidRPr="00132A79">
        <w:t xml:space="preserve">2.3.1 Auditori </w:t>
      </w:r>
    </w:p>
    <w:p w:rsidR="00132A79" w:rsidRPr="00132A79" w:rsidRDefault="00132A79" w:rsidP="00A32124">
      <w:pPr>
        <w:pStyle w:val="ListParagraph"/>
        <w:tabs>
          <w:tab w:val="left" w:pos="10260"/>
        </w:tabs>
        <w:spacing w:line="276" w:lineRule="auto"/>
        <w:ind w:left="792"/>
      </w:pPr>
      <w:r w:rsidRPr="00132A79">
        <w:t xml:space="preserve">2.3.2 Pajisja me certifikatë dhe frekuentimi </w:t>
      </w:r>
    </w:p>
    <w:p w:rsidR="00132A79" w:rsidRPr="00132A79" w:rsidRDefault="00132A79" w:rsidP="00A32124">
      <w:pPr>
        <w:pStyle w:val="ListParagraph"/>
        <w:tabs>
          <w:tab w:val="left" w:pos="10260"/>
        </w:tabs>
        <w:spacing w:line="276" w:lineRule="auto"/>
        <w:ind w:left="792"/>
      </w:pPr>
      <w:r w:rsidRPr="00132A79">
        <w:t>2.3.3 Pyetësorët e vlerësimit</w:t>
      </w:r>
    </w:p>
    <w:p w:rsidR="00132A79" w:rsidRPr="00132A79" w:rsidRDefault="00132A79" w:rsidP="00A32124">
      <w:pPr>
        <w:pStyle w:val="ListParagraph"/>
        <w:tabs>
          <w:tab w:val="left" w:pos="10260"/>
        </w:tabs>
        <w:spacing w:line="276" w:lineRule="auto"/>
        <w:ind w:left="792"/>
      </w:pPr>
      <w:r w:rsidRPr="00132A79">
        <w:t>2.3.4 Fluksi i sesioneve për muaj</w:t>
      </w:r>
    </w:p>
    <w:p w:rsidR="00132A79" w:rsidRPr="00132A79" w:rsidRDefault="00132A79" w:rsidP="005C2687">
      <w:pPr>
        <w:pStyle w:val="ListParagraph"/>
        <w:numPr>
          <w:ilvl w:val="1"/>
          <w:numId w:val="1"/>
        </w:numPr>
        <w:tabs>
          <w:tab w:val="left" w:pos="10260"/>
        </w:tabs>
        <w:spacing w:line="276" w:lineRule="auto"/>
      </w:pPr>
      <w:r w:rsidRPr="00132A79">
        <w:t>Ekspertiza. Ekspertët</w:t>
      </w:r>
    </w:p>
    <w:p w:rsidR="00132A79" w:rsidRPr="00132A79" w:rsidRDefault="00132A79" w:rsidP="005C2687">
      <w:pPr>
        <w:pStyle w:val="ListParagraph"/>
        <w:numPr>
          <w:ilvl w:val="1"/>
          <w:numId w:val="1"/>
        </w:numPr>
        <w:tabs>
          <w:tab w:val="left" w:pos="10260"/>
        </w:tabs>
        <w:spacing w:line="276" w:lineRule="auto"/>
      </w:pPr>
      <w:r w:rsidRPr="00132A79">
        <w:t>Bashkëpunimi me aktorë të rëndësishëm të sistemit të drejtësisë në vendin tonë</w:t>
      </w:r>
    </w:p>
    <w:p w:rsidR="00132A79" w:rsidRPr="00132A79" w:rsidRDefault="00132A79" w:rsidP="005C2687">
      <w:pPr>
        <w:pStyle w:val="ListParagraph"/>
        <w:numPr>
          <w:ilvl w:val="1"/>
          <w:numId w:val="1"/>
        </w:numPr>
        <w:tabs>
          <w:tab w:val="left" w:pos="10260"/>
        </w:tabs>
        <w:spacing w:line="276" w:lineRule="auto"/>
      </w:pPr>
      <w:r w:rsidRPr="00132A79">
        <w:t>Metodologjia e përdorur në hartimin e përmbajtjes tematike të Programit</w:t>
      </w:r>
    </w:p>
    <w:p w:rsidR="00132A79" w:rsidRPr="00132A79" w:rsidRDefault="00132A79" w:rsidP="005C2687">
      <w:pPr>
        <w:pStyle w:val="ListParagraph"/>
        <w:numPr>
          <w:ilvl w:val="1"/>
          <w:numId w:val="1"/>
        </w:numPr>
        <w:tabs>
          <w:tab w:val="left" w:pos="10260"/>
        </w:tabs>
        <w:spacing w:line="276" w:lineRule="auto"/>
      </w:pPr>
      <w:r w:rsidRPr="00132A79">
        <w:t xml:space="preserve">Trajnimi i trajnerëve </w:t>
      </w:r>
    </w:p>
    <w:p w:rsidR="00132A79" w:rsidRPr="00132A79" w:rsidRDefault="00132A79" w:rsidP="00132A79">
      <w:pPr>
        <w:tabs>
          <w:tab w:val="left" w:pos="10260"/>
        </w:tabs>
        <w:jc w:val="center"/>
        <w:rPr>
          <w:b/>
          <w:bCs/>
          <w:color w:val="CC9966" w:themeColor="accent2"/>
          <w:kern w:val="32"/>
          <w:sz w:val="36"/>
        </w:rPr>
      </w:pPr>
    </w:p>
    <w:p w:rsidR="00132A79" w:rsidRPr="00A32124" w:rsidRDefault="00132A79" w:rsidP="005C2687">
      <w:pPr>
        <w:pStyle w:val="ListParagraph"/>
        <w:numPr>
          <w:ilvl w:val="0"/>
          <w:numId w:val="1"/>
        </w:numPr>
        <w:tabs>
          <w:tab w:val="left" w:pos="10260"/>
        </w:tabs>
        <w:spacing w:line="276" w:lineRule="auto"/>
        <w:rPr>
          <w:b/>
          <w:color w:val="7F5034" w:themeColor="accent1"/>
          <w:sz w:val="28"/>
        </w:rPr>
      </w:pPr>
      <w:r w:rsidRPr="00A32124">
        <w:rPr>
          <w:b/>
          <w:color w:val="7F5034" w:themeColor="accent1"/>
          <w:sz w:val="28"/>
        </w:rPr>
        <w:t xml:space="preserve">BASHKËPUNIMI ME PARTNERËT NDËRKOMBËTARË </w:t>
      </w:r>
    </w:p>
    <w:p w:rsidR="00132A79" w:rsidRPr="00A32124" w:rsidRDefault="00132A79" w:rsidP="005C2687">
      <w:pPr>
        <w:pStyle w:val="ListParagraph"/>
        <w:numPr>
          <w:ilvl w:val="1"/>
          <w:numId w:val="1"/>
        </w:numPr>
        <w:tabs>
          <w:tab w:val="left" w:pos="10260"/>
        </w:tabs>
        <w:spacing w:line="276" w:lineRule="auto"/>
      </w:pPr>
      <w:r w:rsidRPr="00A32124">
        <w:t xml:space="preserve">Mbështetja financiare e aktiviteteve trajnuese nga partnerët ndërkombëtarë gjatë vitit akademik 2017- 2018 </w:t>
      </w:r>
    </w:p>
    <w:p w:rsidR="00132A79" w:rsidRPr="00A32124" w:rsidRDefault="00132A79" w:rsidP="005C2687">
      <w:pPr>
        <w:pStyle w:val="ListParagraph"/>
        <w:numPr>
          <w:ilvl w:val="1"/>
          <w:numId w:val="1"/>
        </w:numPr>
        <w:tabs>
          <w:tab w:val="left" w:pos="10260"/>
        </w:tabs>
        <w:spacing w:line="276" w:lineRule="auto"/>
      </w:pPr>
      <w:r w:rsidRPr="00A32124">
        <w:t>Takime pune/konferenca/seminare dhe vizita studimore gjatë vitit akademik 2017-2018</w:t>
      </w:r>
    </w:p>
    <w:p w:rsidR="00132A79" w:rsidRPr="00132A79" w:rsidRDefault="00132A79" w:rsidP="00132A79">
      <w:pPr>
        <w:tabs>
          <w:tab w:val="left" w:pos="10260"/>
        </w:tabs>
        <w:jc w:val="center"/>
        <w:rPr>
          <w:b/>
          <w:bCs/>
          <w:color w:val="CC9966" w:themeColor="accent2"/>
          <w:kern w:val="32"/>
          <w:sz w:val="36"/>
        </w:rPr>
      </w:pPr>
    </w:p>
    <w:p w:rsidR="00132A79" w:rsidRPr="00A32124" w:rsidRDefault="00132A79" w:rsidP="005C2687">
      <w:pPr>
        <w:pStyle w:val="ListParagraph"/>
        <w:numPr>
          <w:ilvl w:val="0"/>
          <w:numId w:val="1"/>
        </w:numPr>
        <w:tabs>
          <w:tab w:val="left" w:pos="10260"/>
        </w:tabs>
        <w:spacing w:line="276" w:lineRule="auto"/>
        <w:rPr>
          <w:b/>
          <w:color w:val="7F5034" w:themeColor="accent1"/>
          <w:sz w:val="28"/>
        </w:rPr>
      </w:pPr>
      <w:r w:rsidRPr="00A32124">
        <w:rPr>
          <w:b/>
          <w:color w:val="7F5034" w:themeColor="accent1"/>
          <w:sz w:val="28"/>
        </w:rPr>
        <w:t>BOTIME, PUBLIKIME DHE STUDIME</w:t>
      </w:r>
    </w:p>
    <w:p w:rsidR="00132A79" w:rsidRPr="00A32124" w:rsidRDefault="00132A79" w:rsidP="005C2687">
      <w:pPr>
        <w:pStyle w:val="ListParagraph"/>
        <w:numPr>
          <w:ilvl w:val="1"/>
          <w:numId w:val="1"/>
        </w:numPr>
        <w:tabs>
          <w:tab w:val="left" w:pos="10260"/>
        </w:tabs>
        <w:spacing w:line="276" w:lineRule="auto"/>
      </w:pPr>
      <w:r w:rsidRPr="00A32124">
        <w:t>Botime të revistës “Jeta Juridike” për vitin akademik 2017 - 2018</w:t>
      </w:r>
    </w:p>
    <w:p w:rsidR="00132A79" w:rsidRPr="00A32124" w:rsidRDefault="00132A79" w:rsidP="005C2687">
      <w:pPr>
        <w:pStyle w:val="ListParagraph"/>
        <w:numPr>
          <w:ilvl w:val="1"/>
          <w:numId w:val="1"/>
        </w:numPr>
        <w:tabs>
          <w:tab w:val="left" w:pos="10260"/>
        </w:tabs>
        <w:spacing w:line="276" w:lineRule="auto"/>
      </w:pPr>
      <w:r w:rsidRPr="00A32124">
        <w:t>Raporti për botimet e teksteve shkencore të Shkollës së Magjistraturës 2017 - 2018</w:t>
      </w:r>
    </w:p>
    <w:p w:rsidR="00132A79" w:rsidRPr="00A32124" w:rsidRDefault="00132A79" w:rsidP="005C2687">
      <w:pPr>
        <w:pStyle w:val="ListParagraph"/>
        <w:numPr>
          <w:ilvl w:val="1"/>
          <w:numId w:val="1"/>
        </w:numPr>
        <w:tabs>
          <w:tab w:val="left" w:pos="10260"/>
        </w:tabs>
        <w:spacing w:line="276" w:lineRule="auto"/>
      </w:pPr>
      <w:r w:rsidRPr="00A32124">
        <w:t xml:space="preserve">Publikimet dhe puna kërkimore-shkencore </w:t>
      </w:r>
    </w:p>
    <w:p w:rsidR="00132A79" w:rsidRPr="00A32124" w:rsidRDefault="00132A79" w:rsidP="005C2687">
      <w:pPr>
        <w:pStyle w:val="ListParagraph"/>
        <w:numPr>
          <w:ilvl w:val="1"/>
          <w:numId w:val="1"/>
        </w:numPr>
        <w:tabs>
          <w:tab w:val="left" w:pos="10260"/>
        </w:tabs>
        <w:spacing w:line="276" w:lineRule="auto"/>
      </w:pPr>
      <w:r w:rsidRPr="00A32124">
        <w:t xml:space="preserve">Biblioteka </w:t>
      </w:r>
    </w:p>
    <w:p w:rsidR="00132A79" w:rsidRPr="00132A79" w:rsidRDefault="00132A79" w:rsidP="00132A79">
      <w:pPr>
        <w:tabs>
          <w:tab w:val="left" w:pos="10260"/>
        </w:tabs>
        <w:jc w:val="center"/>
        <w:rPr>
          <w:b/>
          <w:bCs/>
          <w:color w:val="CC9966" w:themeColor="accent2"/>
          <w:kern w:val="32"/>
          <w:sz w:val="36"/>
        </w:rPr>
      </w:pPr>
    </w:p>
    <w:p w:rsidR="00132A79" w:rsidRPr="00A32124" w:rsidRDefault="00132A79" w:rsidP="005C2687">
      <w:pPr>
        <w:pStyle w:val="ListParagraph"/>
        <w:numPr>
          <w:ilvl w:val="0"/>
          <w:numId w:val="1"/>
        </w:numPr>
        <w:tabs>
          <w:tab w:val="left" w:pos="10260"/>
        </w:tabs>
        <w:spacing w:line="276" w:lineRule="auto"/>
        <w:rPr>
          <w:b/>
          <w:color w:val="7F5034" w:themeColor="accent1"/>
          <w:sz w:val="28"/>
        </w:rPr>
      </w:pPr>
      <w:r w:rsidRPr="00A32124">
        <w:rPr>
          <w:b/>
          <w:color w:val="7F5034" w:themeColor="accent1"/>
          <w:sz w:val="28"/>
        </w:rPr>
        <w:t>PËRDORIMI I TEKNOLOGJISË SË PËRPARUAR TË INFORMACIONIT</w:t>
      </w:r>
    </w:p>
    <w:p w:rsidR="00132A79" w:rsidRPr="00A32124" w:rsidRDefault="00132A79" w:rsidP="005C2687">
      <w:pPr>
        <w:pStyle w:val="ListParagraph"/>
        <w:numPr>
          <w:ilvl w:val="1"/>
          <w:numId w:val="1"/>
        </w:numPr>
        <w:tabs>
          <w:tab w:val="left" w:pos="10260"/>
        </w:tabs>
        <w:spacing w:line="276" w:lineRule="auto"/>
      </w:pPr>
      <w:r w:rsidRPr="00A32124">
        <w:t xml:space="preserve">Aksesi në faqen zyrtare të Shkollës së Magjistraturës </w:t>
      </w:r>
    </w:p>
    <w:p w:rsidR="00132A79" w:rsidRPr="00A32124" w:rsidRDefault="00132A79" w:rsidP="005C2687">
      <w:pPr>
        <w:pStyle w:val="ListParagraph"/>
        <w:numPr>
          <w:ilvl w:val="1"/>
          <w:numId w:val="1"/>
        </w:numPr>
        <w:tabs>
          <w:tab w:val="left" w:pos="10260"/>
        </w:tabs>
        <w:spacing w:line="276" w:lineRule="auto"/>
      </w:pPr>
      <w:r w:rsidRPr="00A32124">
        <w:t>Sistemet dhe pajisjet teknologjike</w:t>
      </w:r>
    </w:p>
    <w:p w:rsidR="00132A79" w:rsidRPr="00A32124" w:rsidRDefault="00132A79" w:rsidP="005C2687">
      <w:pPr>
        <w:pStyle w:val="ListParagraph"/>
        <w:numPr>
          <w:ilvl w:val="1"/>
          <w:numId w:val="1"/>
        </w:numPr>
        <w:tabs>
          <w:tab w:val="left" w:pos="10260"/>
        </w:tabs>
        <w:spacing w:line="276" w:lineRule="auto"/>
      </w:pPr>
      <w:r w:rsidRPr="00A32124">
        <w:lastRenderedPageBreak/>
        <w:t>Risia e teknologjisë: Platforma E-learning “Moodle”</w:t>
      </w:r>
    </w:p>
    <w:p w:rsidR="00132A79" w:rsidRPr="00132A79" w:rsidRDefault="00132A79" w:rsidP="00A32124">
      <w:pPr>
        <w:tabs>
          <w:tab w:val="left" w:pos="10260"/>
        </w:tabs>
        <w:rPr>
          <w:b/>
          <w:bCs/>
          <w:color w:val="CC9966" w:themeColor="accent2"/>
          <w:kern w:val="32"/>
          <w:sz w:val="36"/>
        </w:rPr>
      </w:pPr>
      <w:r w:rsidRPr="00132A79">
        <w:rPr>
          <w:b/>
          <w:bCs/>
          <w:color w:val="CC9966" w:themeColor="accent2"/>
          <w:kern w:val="32"/>
          <w:sz w:val="36"/>
        </w:rPr>
        <w:t xml:space="preserve"> </w:t>
      </w:r>
    </w:p>
    <w:p w:rsidR="00132A79" w:rsidRPr="00A32124" w:rsidRDefault="00132A79" w:rsidP="005C2687">
      <w:pPr>
        <w:pStyle w:val="ListParagraph"/>
        <w:numPr>
          <w:ilvl w:val="0"/>
          <w:numId w:val="1"/>
        </w:numPr>
        <w:tabs>
          <w:tab w:val="left" w:pos="10260"/>
        </w:tabs>
        <w:spacing w:line="276" w:lineRule="auto"/>
        <w:rPr>
          <w:b/>
          <w:color w:val="7F5034" w:themeColor="accent1"/>
          <w:sz w:val="28"/>
        </w:rPr>
      </w:pPr>
      <w:r w:rsidRPr="00A32124">
        <w:rPr>
          <w:b/>
          <w:color w:val="7F5034" w:themeColor="accent1"/>
          <w:sz w:val="28"/>
        </w:rPr>
        <w:t>PERSPEKTIVA DHE VIZIONI PËR TË ARDHMEN</w:t>
      </w:r>
    </w:p>
    <w:p w:rsidR="00132A79" w:rsidRDefault="00132A79" w:rsidP="005C2687">
      <w:pPr>
        <w:pStyle w:val="ListParagraph"/>
        <w:numPr>
          <w:ilvl w:val="1"/>
          <w:numId w:val="1"/>
        </w:numPr>
        <w:tabs>
          <w:tab w:val="left" w:pos="10260"/>
        </w:tabs>
        <w:spacing w:line="276" w:lineRule="auto"/>
      </w:pPr>
      <w:r w:rsidRPr="00A32124">
        <w:t>Trajnimi Fillestar</w:t>
      </w:r>
    </w:p>
    <w:p w:rsidR="00132A79" w:rsidRPr="00A32124" w:rsidRDefault="00132A79" w:rsidP="005C2687">
      <w:pPr>
        <w:pStyle w:val="ListParagraph"/>
        <w:numPr>
          <w:ilvl w:val="1"/>
          <w:numId w:val="1"/>
        </w:numPr>
        <w:tabs>
          <w:tab w:val="left" w:pos="10260"/>
        </w:tabs>
        <w:spacing w:line="276" w:lineRule="auto"/>
      </w:pPr>
      <w:r w:rsidRPr="00A32124">
        <w:t>Trajnimi i Vazhduar</w:t>
      </w:r>
    </w:p>
    <w:p w:rsidR="00132A79" w:rsidRPr="00A32124" w:rsidRDefault="00132A79" w:rsidP="005C2687">
      <w:pPr>
        <w:pStyle w:val="ListParagraph"/>
        <w:numPr>
          <w:ilvl w:val="1"/>
          <w:numId w:val="1"/>
        </w:numPr>
        <w:tabs>
          <w:tab w:val="left" w:pos="10260"/>
        </w:tabs>
        <w:spacing w:line="276" w:lineRule="auto"/>
      </w:pPr>
      <w:r w:rsidRPr="00A32124">
        <w:t>Publikimet dhe puna kërkimore-shkencore</w:t>
      </w:r>
    </w:p>
    <w:p w:rsidR="00132A79" w:rsidRPr="00A32124" w:rsidRDefault="00132A79" w:rsidP="005C2687">
      <w:pPr>
        <w:pStyle w:val="ListParagraph"/>
        <w:numPr>
          <w:ilvl w:val="1"/>
          <w:numId w:val="1"/>
        </w:numPr>
        <w:tabs>
          <w:tab w:val="left" w:pos="10260"/>
        </w:tabs>
        <w:spacing w:line="276" w:lineRule="auto"/>
      </w:pPr>
      <w:r w:rsidRPr="00A32124">
        <w:t xml:space="preserve">Biblioteka </w:t>
      </w:r>
    </w:p>
    <w:p w:rsidR="00132A79" w:rsidRPr="00A32124" w:rsidRDefault="00132A79" w:rsidP="005C2687">
      <w:pPr>
        <w:pStyle w:val="ListParagraph"/>
        <w:numPr>
          <w:ilvl w:val="1"/>
          <w:numId w:val="1"/>
        </w:numPr>
        <w:tabs>
          <w:tab w:val="left" w:pos="10260"/>
        </w:tabs>
        <w:spacing w:line="276" w:lineRule="auto"/>
      </w:pPr>
      <w:r w:rsidRPr="00A32124">
        <w:t>Avancimi i Teknologjisë së Informacionit</w:t>
      </w:r>
    </w:p>
    <w:p w:rsidR="00132A79" w:rsidRDefault="00132A79"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Default="00A32124" w:rsidP="00A32124">
      <w:pPr>
        <w:tabs>
          <w:tab w:val="left" w:pos="10260"/>
        </w:tabs>
        <w:spacing w:line="276" w:lineRule="auto"/>
      </w:pPr>
    </w:p>
    <w:p w:rsidR="00A32124" w:rsidRPr="00A32124" w:rsidRDefault="00A32124" w:rsidP="00A32124">
      <w:pPr>
        <w:tabs>
          <w:tab w:val="left" w:pos="10260"/>
        </w:tabs>
        <w:spacing w:line="276" w:lineRule="auto"/>
      </w:pPr>
    </w:p>
    <w:p w:rsidR="001351ED" w:rsidRPr="006621AA" w:rsidRDefault="001351ED" w:rsidP="001351ED">
      <w:pPr>
        <w:tabs>
          <w:tab w:val="left" w:pos="10260"/>
        </w:tabs>
        <w:jc w:val="center"/>
        <w:rPr>
          <w:sz w:val="20"/>
        </w:rPr>
      </w:pPr>
    </w:p>
    <w:p w:rsidR="004A73BF" w:rsidRPr="006621AA" w:rsidRDefault="00CF3AE0" w:rsidP="00B70876">
      <w:pPr>
        <w:tabs>
          <w:tab w:val="left" w:pos="10260"/>
        </w:tabs>
      </w:pPr>
      <w:r>
        <w:rPr>
          <w:noProof/>
          <w:lang w:eastAsia="en-US"/>
        </w:rPr>
        <w:lastRenderedPageBreak/>
        <w:pict>
          <v:rect id="Rectangle 11" o:spid="_x0000_s1029" style="position:absolute;margin-left:-24.75pt;margin-top:-11.55pt;width:602.05pt;height:43.2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" fillcolor="#4f81bd" stroked="f" strokeweight="2pt">
            <v:textbox>
              <w:txbxContent>
                <w:p w:rsidR="005372E3" w:rsidRPr="00FF271F" w:rsidRDefault="005372E3" w:rsidP="00FF271F">
                  <w:pPr>
                    <w:rPr>
                      <w:szCs w:val="56"/>
                    </w:rPr>
                  </w:pPr>
                  <w:r w:rsidRPr="00FF271F">
                    <w:rPr>
                      <w:b/>
                      <w:color w:val="FFFFFF" w:themeColor="background1"/>
                      <w:sz w:val="56"/>
                      <w:szCs w:val="56"/>
                    </w:rPr>
                    <w:t>1.</w:t>
                  </w:r>
                  <w:r w:rsidRPr="00FF271F">
                    <w:rPr>
                      <w:b/>
                      <w:color w:val="FFFFFF" w:themeColor="background1"/>
                      <w:sz w:val="56"/>
                      <w:szCs w:val="56"/>
                    </w:rPr>
                    <w:tab/>
                    <w:t>PROGRAMI I FORMIMIT FILLESTAR</w:t>
                  </w:r>
                </w:p>
              </w:txbxContent>
            </v:textbox>
          </v:rect>
        </w:pict>
      </w:r>
    </w:p>
    <w:p w:rsidR="004A73BF" w:rsidRPr="006621AA" w:rsidRDefault="004A73BF" w:rsidP="00B70876">
      <w:pPr>
        <w:tabs>
          <w:tab w:val="left" w:pos="360"/>
          <w:tab w:val="left" w:pos="10260"/>
          <w:tab w:val="left" w:pos="11520"/>
          <w:tab w:val="left" w:pos="12060"/>
        </w:tabs>
      </w:pPr>
    </w:p>
    <w:p w:rsidR="004A73BF" w:rsidRPr="006621AA" w:rsidRDefault="004A73BF" w:rsidP="00B70876">
      <w:pPr>
        <w:tabs>
          <w:tab w:val="left" w:pos="10260"/>
        </w:tabs>
      </w:pPr>
    </w:p>
    <w:p w:rsidR="00F0441F" w:rsidRPr="006621AA" w:rsidRDefault="00F0441F" w:rsidP="00B70876">
      <w:pPr>
        <w:tabs>
          <w:tab w:val="left" w:pos="10260"/>
        </w:tabs>
      </w:pPr>
    </w:p>
    <w:p w:rsidR="00A87BD2" w:rsidRPr="006621AA" w:rsidRDefault="00A87BD2" w:rsidP="00A87BD2">
      <w:pPr>
        <w:pStyle w:val="MyHeadtitle"/>
        <w:spacing w:before="0" w:after="0" w:line="276" w:lineRule="auto"/>
        <w:jc w:val="both"/>
        <w:rPr>
          <w:rFonts w:ascii="Times New Roman" w:hAnsi="Times New Roman" w:cs="Times New Roman"/>
          <w:color w:val="CC9966" w:themeColor="accent2"/>
          <w:sz w:val="40"/>
          <w:szCs w:val="24"/>
        </w:rPr>
        <w:sectPr w:rsidR="00A87BD2" w:rsidRPr="006621AA" w:rsidSect="00A87BD2">
          <w:footerReference w:type="default" r:id="rId10"/>
          <w:pgSz w:w="12240" w:h="15840" w:code="1"/>
          <w:pgMar w:top="810" w:right="990" w:bottom="1620" w:left="990" w:header="360" w:footer="371" w:gutter="0"/>
          <w:cols w:space="708"/>
          <w:docGrid w:linePitch="360"/>
        </w:sectPr>
      </w:pPr>
    </w:p>
    <w:p w:rsidR="00FF271F" w:rsidRDefault="00FF271F" w:rsidP="005F5AE4">
      <w:pPr>
        <w:pStyle w:val="My"/>
        <w:spacing w:line="276" w:lineRule="auto"/>
        <w:jc w:val="both"/>
        <w:rPr>
          <w:rFonts w:ascii="Times New Roman" w:hAnsi="Times New Roman" w:cs="Times New Roman"/>
          <w:b/>
          <w:color w:val="CC9966" w:themeColor="accent2"/>
          <w:sz w:val="32"/>
          <w:lang w:val="en-US"/>
        </w:rPr>
      </w:pPr>
      <w:r w:rsidRPr="00FF271F">
        <w:rPr>
          <w:rFonts w:ascii="Times New Roman" w:hAnsi="Times New Roman" w:cs="Times New Roman"/>
          <w:b/>
          <w:color w:val="CC9966" w:themeColor="accent2"/>
          <w:sz w:val="32"/>
          <w:lang w:val="en-US"/>
        </w:rPr>
        <w:t>1.1</w:t>
      </w:r>
      <w:r w:rsidR="009D4032">
        <w:rPr>
          <w:rFonts w:ascii="Times New Roman" w:hAnsi="Times New Roman" w:cs="Times New Roman"/>
          <w:b/>
          <w:color w:val="CC9966" w:themeColor="accent2"/>
          <w:sz w:val="32"/>
          <w:lang w:val="en-US"/>
        </w:rPr>
        <w:t>.</w:t>
      </w:r>
      <w:r w:rsidRPr="00FF271F">
        <w:rPr>
          <w:rFonts w:ascii="Times New Roman" w:hAnsi="Times New Roman" w:cs="Times New Roman"/>
          <w:b/>
          <w:color w:val="CC9966" w:themeColor="accent2"/>
          <w:sz w:val="32"/>
          <w:lang w:val="en-US"/>
        </w:rPr>
        <w:t xml:space="preserve"> Objektivat e Programit të Formimit Fillestar për vitin akademik </w:t>
      </w:r>
      <w:r>
        <w:rPr>
          <w:rFonts w:ascii="Times New Roman" w:hAnsi="Times New Roman" w:cs="Times New Roman"/>
          <w:b/>
          <w:color w:val="CC9966" w:themeColor="accent2"/>
          <w:sz w:val="32"/>
          <w:lang w:val="en-US"/>
        </w:rPr>
        <w:t xml:space="preserve"> </w:t>
      </w:r>
      <w:r w:rsidRPr="00FF271F">
        <w:rPr>
          <w:rFonts w:ascii="Times New Roman" w:hAnsi="Times New Roman" w:cs="Times New Roman"/>
          <w:b/>
          <w:color w:val="CC9966" w:themeColor="accent2"/>
          <w:sz w:val="32"/>
          <w:lang w:val="en-US"/>
        </w:rPr>
        <w:t>2017-2018</w:t>
      </w:r>
    </w:p>
    <w:p w:rsidR="00FF271F" w:rsidRDefault="00FF271F" w:rsidP="005F5AE4">
      <w:pPr>
        <w:pStyle w:val="My"/>
        <w:spacing w:line="276" w:lineRule="auto"/>
        <w:jc w:val="both"/>
        <w:rPr>
          <w:rFonts w:ascii="Times New Roman" w:hAnsi="Times New Roman" w:cs="Times New Roman"/>
          <w:lang w:val="en-US"/>
        </w:rPr>
      </w:pP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Procesi i mësimdhënies në Shkollën e Magjistraturës gjatë vitit akademik 2017-2018 solli si rezultat plotësimin e objektivave të mëposhtme:</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Rritjen e shprehive teorike, në komentimin dhe interpretimin e ligjeve në nivele më të avancuara dhe më të thelluara se ato të programit mësimor të përmbushur në fakultetet e drejtësisë.</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Njohjen me përmbajtjen e ligjeve të reja të aprovuara rishtazi, me mënyrën e zbatimit dhe të analizimit të tyre, si dhe me mënyrën e ndërthurjes së tyre me kornizën ligjore ekzistuese.</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Rritjen e shprehive praktike të magjistratëve në drejtim të zbatimit të ligjeve në zgjidhjet konkrete të rasteve të praktikës gjyqësore.</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 xml:space="preserve">Rritjen e aftësive intelektuale dhe shkencore në drejtim të argumentimit logjik dhe analitik të praktikës gjyqësore, drejt bazueshmërisë së vendimeve gjyqësore dhe akteve të tjera procedurale në prova dhe në ligj. </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 xml:space="preserve">Rritjen e shprehive në nivele bashkëkohore në drejtim të shkrimit dhe arsyetimit ligjor. </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Unifikimin e zgjidhjeve ligjore të rasteve praktike, me qëllim mënjanimin e zgjidhjeve paralele apo të kundërta, për rastet që janë të ngjashme.</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 xml:space="preserve">Rritjen e shkallës së komunikimit dhe të sjelljes së magjistratëve të ardhshëm brenda normave të etikës profesionale. </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 xml:space="preserve">Edukimin e magjistratëve me shprehitë e nevojshme për zbatimin në punën e tyre të parimeve të: </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 xml:space="preserve">pavarësisë; </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paanësisë;</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ndershmërisë profesionale;</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në dhënien e vendimeve dhe shqyrtimin e çështjeve penale e civile.</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Organizimin e praktikës aktive si gjyqtarë dhe prokurorë në vitin e tretë të Shkollës së Magjistraturës.</w:t>
      </w:r>
    </w:p>
    <w:p w:rsidR="00FF271F" w:rsidRPr="00FF271F" w:rsidRDefault="00FF271F" w:rsidP="00FF271F">
      <w:pPr>
        <w:pStyle w:val="My"/>
        <w:spacing w:line="276" w:lineRule="auto"/>
        <w:jc w:val="both"/>
        <w:rPr>
          <w:rFonts w:ascii="Times New Roman" w:hAnsi="Times New Roman" w:cs="Times New Roman"/>
          <w:lang w:val="en-US"/>
        </w:rPr>
      </w:pP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Objektivat e sipërpërmendura gjatë vitit akademik 2017-2018 u realizuan nëpërmjet:</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Mësimdhënies tradicionale me leksione teorike, me kujdesin e shmangies së përsëritjes së njohurive të marra në Fakultetin Juridik.</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Organizimit të debateve juridike lidhur me dispozita të diskutueshme juridike apo boshllëqe ligjore, sqarime termash e shprehjesh, realizime interpretimesh e komentesh ligjore dhe me analizat përkatëse.</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 xml:space="preserve">Diskutimit dhe zgjidhjes së rasteve të nxjerra nga praktika gjyqësore nga kandidatët me grupe pune ose me gjithë auditorin në tërësi. </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Realizimit të gjyqeve imituese, duke ndarë kandidatët në rolin e aktorëve të procesit, si: gjyqtarë, prokurorë, avokatë, ekspertë e të tjera, në mënyrë që të marrin shprehitë e duhura të qëndrimit dhe të menaxhimit të procesit gjyqësor.</w:t>
      </w:r>
    </w:p>
    <w:p w:rsidR="00FF271F" w:rsidRP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w:t>
      </w:r>
      <w:r w:rsidRPr="00FF271F">
        <w:rPr>
          <w:rFonts w:ascii="Times New Roman" w:hAnsi="Times New Roman" w:cs="Times New Roman"/>
          <w:lang w:val="en-US"/>
        </w:rPr>
        <w:tab/>
        <w:t>Përgatitjes së eseve, temave dhe materialeve të tjera lidhur me probleme të mprehta të praktikës gjyqësore dhe të jurisprudencës në përgjithësi për të fituar shprehitë e shfrytëzimit të literaturave dhe të burimeve bashkëkohore të internetit.</w:t>
      </w:r>
    </w:p>
    <w:p w:rsidR="00FF271F" w:rsidRDefault="00FF271F" w:rsidP="00FF271F">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lastRenderedPageBreak/>
        <w:t>-</w:t>
      </w:r>
      <w:r w:rsidRPr="00FF271F">
        <w:rPr>
          <w:rFonts w:ascii="Times New Roman" w:hAnsi="Times New Roman" w:cs="Times New Roman"/>
          <w:lang w:val="en-US"/>
        </w:rPr>
        <w:tab/>
        <w:t>Organizimit të takimeve dhe të vizitave pranë institucioneve të drejtësisë të të gjitha shkallëve etj.</w:t>
      </w:r>
    </w:p>
    <w:p w:rsidR="00FF271F" w:rsidRDefault="00FF271F" w:rsidP="005F5AE4">
      <w:pPr>
        <w:pStyle w:val="My"/>
        <w:spacing w:line="276" w:lineRule="auto"/>
        <w:jc w:val="both"/>
        <w:rPr>
          <w:rFonts w:ascii="Times New Roman" w:hAnsi="Times New Roman" w:cs="Times New Roman"/>
          <w:lang w:val="en-US"/>
        </w:rPr>
      </w:pPr>
      <w:r w:rsidRPr="00FF271F">
        <w:rPr>
          <w:rFonts w:ascii="Times New Roman" w:hAnsi="Times New Roman" w:cs="Times New Roman"/>
          <w:lang w:val="en-US"/>
        </w:rPr>
        <w:t>Gjatë vitit akademik 2017 - 2018 në mjediset e Shkollës së Magjistraturës janë përgatitur përkatësisht 56 kandidatë për magjistratë, sipas ndarjes së mëposhtme:</w:t>
      </w:r>
    </w:p>
    <w:p w:rsidR="00F611A4" w:rsidRDefault="00F611A4" w:rsidP="005F5AE4">
      <w:pPr>
        <w:pStyle w:val="My"/>
        <w:spacing w:line="276" w:lineRule="auto"/>
        <w:jc w:val="both"/>
        <w:rPr>
          <w:rFonts w:ascii="Times New Roman" w:hAnsi="Times New Roman" w:cs="Times New Roman"/>
          <w:lang w:val="en-US"/>
        </w:rPr>
      </w:pPr>
    </w:p>
    <w:p w:rsidR="00FF271F" w:rsidRDefault="00813171" w:rsidP="005F5AE4">
      <w:pPr>
        <w:pStyle w:val="My"/>
        <w:spacing w:line="276" w:lineRule="auto"/>
        <w:jc w:val="both"/>
        <w:rPr>
          <w:rFonts w:ascii="Times New Roman" w:hAnsi="Times New Roman" w:cs="Times New Roman"/>
          <w:lang w:val="en-US"/>
        </w:rPr>
      </w:pPr>
      <w:r>
        <w:rPr>
          <w:rFonts w:ascii="Times New Roman" w:hAnsi="Times New Roman" w:cs="Times New Roman"/>
          <w:noProof/>
          <w:lang w:val="en-US" w:eastAsia="en-US"/>
        </w:rPr>
        <w:drawing>
          <wp:inline distT="0" distB="0" distL="0" distR="0">
            <wp:extent cx="3067050" cy="2057400"/>
            <wp:effectExtent l="19050" t="0" r="0" b="0"/>
            <wp:docPr id="9" name="Picture 9" descr="C:\Users\C.R.C\Deskto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C\Desktop\fig.2.jpg"/>
                    <pic:cNvPicPr>
                      <a:picLocks noChangeAspect="1" noChangeArrowheads="1"/>
                    </pic:cNvPicPr>
                  </pic:nvPicPr>
                  <pic:blipFill>
                    <a:blip r:embed="rId11"/>
                    <a:srcRect/>
                    <a:stretch>
                      <a:fillRect/>
                    </a:stretch>
                  </pic:blipFill>
                  <pic:spPr bwMode="auto">
                    <a:xfrm>
                      <a:off x="0" y="0"/>
                      <a:ext cx="3070181" cy="2059500"/>
                    </a:xfrm>
                    <a:prstGeom prst="rect">
                      <a:avLst/>
                    </a:prstGeom>
                    <a:noFill/>
                    <a:ln w="9525">
                      <a:noFill/>
                      <a:miter lim="800000"/>
                      <a:headEnd/>
                      <a:tailEnd/>
                    </a:ln>
                  </pic:spPr>
                </pic:pic>
              </a:graphicData>
            </a:graphic>
          </wp:inline>
        </w:drawing>
      </w:r>
    </w:p>
    <w:p w:rsidR="00FF271F" w:rsidRPr="00813171" w:rsidRDefault="004130C9" w:rsidP="005F5AE4">
      <w:pPr>
        <w:pStyle w:val="My"/>
        <w:spacing w:line="276" w:lineRule="auto"/>
        <w:jc w:val="both"/>
        <w:rPr>
          <w:rFonts w:ascii="Times New Roman" w:hAnsi="Times New Roman" w:cs="Times New Roman"/>
          <w:i/>
          <w:sz w:val="20"/>
          <w:lang w:val="en-US"/>
        </w:rPr>
      </w:pPr>
      <w:r>
        <w:rPr>
          <w:rFonts w:ascii="Times New Roman" w:hAnsi="Times New Roman" w:cs="Times New Roman"/>
          <w:lang w:val="en-US"/>
        </w:rPr>
        <w:t xml:space="preserve">            </w:t>
      </w:r>
      <w:r w:rsidR="00813171" w:rsidRPr="00813171">
        <w:rPr>
          <w:rFonts w:ascii="Times New Roman" w:hAnsi="Times New Roman" w:cs="Times New Roman"/>
          <w:i/>
          <w:sz w:val="20"/>
          <w:lang w:val="en-US"/>
        </w:rPr>
        <w:t>Figura nr. 1 Kandidatët për magjistratë</w:t>
      </w:r>
    </w:p>
    <w:p w:rsidR="00FF271F" w:rsidRDefault="00FF271F" w:rsidP="005F5AE4">
      <w:pPr>
        <w:pStyle w:val="My"/>
        <w:spacing w:line="276" w:lineRule="auto"/>
        <w:jc w:val="both"/>
        <w:rPr>
          <w:rFonts w:ascii="Times New Roman" w:hAnsi="Times New Roman" w:cs="Times New Roman"/>
          <w:lang w:val="en-US"/>
        </w:rPr>
      </w:pPr>
    </w:p>
    <w:p w:rsidR="00FF271F" w:rsidRDefault="00FF271F" w:rsidP="005F5AE4">
      <w:pPr>
        <w:pStyle w:val="My"/>
        <w:spacing w:line="276" w:lineRule="auto"/>
        <w:jc w:val="both"/>
        <w:rPr>
          <w:rFonts w:ascii="Times New Roman" w:hAnsi="Times New Roman" w:cs="Times New Roman"/>
          <w:noProof/>
          <w:lang w:val="en-US" w:eastAsia="en-US"/>
        </w:rPr>
      </w:pPr>
    </w:p>
    <w:p w:rsidR="00FF271F" w:rsidRPr="004130C9" w:rsidRDefault="004130C9" w:rsidP="005F5AE4">
      <w:pPr>
        <w:pStyle w:val="My"/>
        <w:spacing w:line="276" w:lineRule="auto"/>
        <w:jc w:val="both"/>
        <w:rPr>
          <w:rFonts w:ascii="Times New Roman" w:hAnsi="Times New Roman" w:cs="Times New Roman"/>
          <w:b/>
          <w:color w:val="CC9966" w:themeColor="accent2"/>
          <w:sz w:val="32"/>
          <w:lang w:val="en-US"/>
        </w:rPr>
      </w:pPr>
      <w:r w:rsidRPr="004130C9">
        <w:rPr>
          <w:rFonts w:ascii="Times New Roman" w:hAnsi="Times New Roman" w:cs="Times New Roman"/>
          <w:b/>
          <w:color w:val="CC9966" w:themeColor="accent2"/>
          <w:sz w:val="32"/>
          <w:lang w:val="en-US"/>
        </w:rPr>
        <w:t>1.2</w:t>
      </w:r>
      <w:r w:rsidR="009D4032">
        <w:rPr>
          <w:rFonts w:ascii="Times New Roman" w:hAnsi="Times New Roman" w:cs="Times New Roman"/>
          <w:b/>
          <w:color w:val="CC9966" w:themeColor="accent2"/>
          <w:sz w:val="32"/>
          <w:lang w:val="en-US"/>
        </w:rPr>
        <w:t>.</w:t>
      </w:r>
      <w:r w:rsidRPr="004130C9">
        <w:rPr>
          <w:rFonts w:ascii="Times New Roman" w:hAnsi="Times New Roman" w:cs="Times New Roman"/>
          <w:b/>
          <w:color w:val="CC9966" w:themeColor="accent2"/>
          <w:sz w:val="32"/>
          <w:lang w:val="en-US"/>
        </w:rPr>
        <w:t xml:space="preserve"> Realizimi i programit mësimor të Trajnimit Fillestar për vitin akademik 2017-2018</w:t>
      </w:r>
    </w:p>
    <w:p w:rsidR="004130C9" w:rsidRDefault="004130C9" w:rsidP="005F5AE4">
      <w:pPr>
        <w:pStyle w:val="My"/>
        <w:spacing w:line="276" w:lineRule="auto"/>
        <w:jc w:val="both"/>
        <w:rPr>
          <w:rFonts w:ascii="Times New Roman" w:hAnsi="Times New Roman" w:cs="Times New Roman"/>
          <w:noProof/>
          <w:lang w:val="en-US" w:eastAsia="en-US"/>
        </w:rPr>
      </w:pPr>
    </w:p>
    <w:p w:rsidR="004130C9" w:rsidRDefault="004130C9" w:rsidP="005F5AE4">
      <w:pPr>
        <w:pStyle w:val="My"/>
        <w:spacing w:line="276" w:lineRule="auto"/>
        <w:jc w:val="both"/>
        <w:rPr>
          <w:rFonts w:ascii="Times New Roman" w:hAnsi="Times New Roman" w:cs="Times New Roman"/>
          <w:noProof/>
          <w:lang w:val="en-US" w:eastAsia="en-US"/>
        </w:rPr>
      </w:pPr>
      <w:r w:rsidRPr="004130C9">
        <w:rPr>
          <w:rFonts w:ascii="Times New Roman" w:hAnsi="Times New Roman" w:cs="Times New Roman"/>
          <w:noProof/>
          <w:lang w:val="en-US" w:eastAsia="en-US"/>
        </w:rPr>
        <w:drawing>
          <wp:inline distT="0" distB="0" distL="0" distR="0">
            <wp:extent cx="3028950" cy="1485900"/>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lum bright="10000"/>
                    </a:blip>
                    <a:srcRect t="18783"/>
                    <a:stretch>
                      <a:fillRect/>
                    </a:stretch>
                  </pic:blipFill>
                  <pic:spPr>
                    <a:xfrm>
                      <a:off x="0" y="0"/>
                      <a:ext cx="3032760" cy="1487769"/>
                    </a:xfrm>
                    <a:prstGeom prst="rect">
                      <a:avLst/>
                    </a:prstGeom>
                  </pic:spPr>
                </pic:pic>
              </a:graphicData>
            </a:graphic>
          </wp:inline>
        </w:drawing>
      </w:r>
    </w:p>
    <w:p w:rsidR="00FF271F" w:rsidRDefault="004130C9" w:rsidP="005F5AE4">
      <w:pPr>
        <w:pStyle w:val="My"/>
        <w:spacing w:line="276" w:lineRule="auto"/>
        <w:jc w:val="both"/>
        <w:rPr>
          <w:rFonts w:ascii="Times New Roman" w:hAnsi="Times New Roman" w:cs="Times New Roman"/>
          <w:i/>
          <w:sz w:val="20"/>
          <w:lang w:val="en-US"/>
        </w:rPr>
      </w:pPr>
      <w:r>
        <w:rPr>
          <w:rFonts w:ascii="Times New Roman" w:hAnsi="Times New Roman" w:cs="Times New Roman"/>
          <w:noProof/>
          <w:lang w:val="en-US" w:eastAsia="en-US"/>
        </w:rPr>
        <w:t xml:space="preserve"> </w:t>
      </w:r>
      <w:r>
        <w:rPr>
          <w:rFonts w:ascii="Times New Roman" w:hAnsi="Times New Roman" w:cs="Times New Roman"/>
          <w:i/>
          <w:sz w:val="20"/>
          <w:lang w:val="en-US"/>
        </w:rPr>
        <w:t xml:space="preserve">Figura nr.2 </w:t>
      </w:r>
      <w:r w:rsidRPr="004130C9">
        <w:rPr>
          <w:rFonts w:ascii="Times New Roman" w:hAnsi="Times New Roman" w:cs="Times New Roman"/>
          <w:i/>
          <w:sz w:val="20"/>
          <w:lang w:val="en-US"/>
        </w:rPr>
        <w:t>Faza e parë e provimit të pranimit  21.4.2017</w:t>
      </w:r>
    </w:p>
    <w:p w:rsidR="004130C9" w:rsidRPr="004130C9" w:rsidRDefault="004130C9" w:rsidP="005F5AE4">
      <w:pPr>
        <w:pStyle w:val="My"/>
        <w:spacing w:line="276" w:lineRule="auto"/>
        <w:jc w:val="both"/>
        <w:rPr>
          <w:rFonts w:ascii="Times New Roman" w:hAnsi="Times New Roman" w:cs="Times New Roman"/>
          <w:i/>
          <w:sz w:val="20"/>
          <w:lang w:val="en-US"/>
        </w:rPr>
      </w:pPr>
    </w:p>
    <w:p w:rsidR="004130C9" w:rsidRDefault="004130C9" w:rsidP="005F5AE4">
      <w:pPr>
        <w:pStyle w:val="My"/>
        <w:spacing w:line="276" w:lineRule="auto"/>
        <w:jc w:val="both"/>
        <w:rPr>
          <w:rFonts w:ascii="Times New Roman" w:hAnsi="Times New Roman" w:cs="Times New Roman"/>
          <w:lang w:val="en-US"/>
        </w:rPr>
      </w:pPr>
    </w:p>
    <w:p w:rsidR="004130C9" w:rsidRPr="004130C9" w:rsidRDefault="009D4032" w:rsidP="004130C9">
      <w:pPr>
        <w:pStyle w:val="My"/>
        <w:spacing w:line="276" w:lineRule="auto"/>
        <w:jc w:val="both"/>
        <w:rPr>
          <w:rFonts w:ascii="Times New Roman" w:hAnsi="Times New Roman" w:cs="Times New Roman"/>
          <w:b/>
          <w:color w:val="CC9966" w:themeColor="accent2"/>
          <w:sz w:val="28"/>
          <w:lang w:val="en-US"/>
        </w:rPr>
      </w:pPr>
      <w:r>
        <w:rPr>
          <w:rFonts w:ascii="Times New Roman" w:hAnsi="Times New Roman" w:cs="Times New Roman"/>
          <w:b/>
          <w:color w:val="CC9966" w:themeColor="accent2"/>
          <w:sz w:val="28"/>
          <w:lang w:val="en-US"/>
        </w:rPr>
        <w:t>1.2.1.</w:t>
      </w:r>
      <w:r w:rsidR="004130C9" w:rsidRPr="004130C9">
        <w:rPr>
          <w:rFonts w:ascii="Times New Roman" w:hAnsi="Times New Roman" w:cs="Times New Roman"/>
          <w:b/>
          <w:color w:val="CC9966" w:themeColor="accent2"/>
          <w:sz w:val="28"/>
          <w:lang w:val="en-US"/>
        </w:rPr>
        <w:t xml:space="preserve"> Mbi provimin e pranimit në Shkollën e Magjistraturës për vitin akademik 2017-2018</w:t>
      </w:r>
    </w:p>
    <w:p w:rsidR="004130C9" w:rsidRDefault="004130C9" w:rsidP="005F5AE4">
      <w:pPr>
        <w:pStyle w:val="My"/>
        <w:spacing w:line="276" w:lineRule="auto"/>
        <w:jc w:val="both"/>
        <w:rPr>
          <w:rFonts w:ascii="Times New Roman" w:hAnsi="Times New Roman" w:cs="Times New Roman"/>
          <w:lang w:val="en-US"/>
        </w:rPr>
      </w:pP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 xml:space="preserve">Në zbatim të ligjit nr. 115/2016, “Për organet e qeverisjes së sistemit të drejtësisë”, ligjit nr. </w:t>
      </w:r>
      <w:r w:rsidRPr="004130C9">
        <w:rPr>
          <w:rFonts w:ascii="Times New Roman" w:hAnsi="Times New Roman" w:cs="Times New Roman"/>
          <w:lang w:val="en-US"/>
        </w:rPr>
        <w:t>96/2016, “Për statusin e gjyqtarëve dhe prokurorëve në Republikën e Shqipërisë”, si dhe ligjit nr. 84/2016, “Për rivlerësimin kalimtar të gjyqtarëve dhe prokurorëve në Republikën e Shqipërisë”, Shkolla e Magjistraturës zhvilloi provimin e pranimit për vitin akademik 2017-2018.</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Këshilli Drejtues i Shkollës së Magjistraturës i mbledhur më datë 31.1.2017, pasi shqyrtoi situatën e krijuar me hyrjen në fuqi të ligjeve të sipërcituara, miratoi Rregulloren e Brendshme me të gjitha ndryshimet dhe risitë që solli reforma në drejtësi në lidhje me veprimtarinë e SHM-së në përgjithësi dhe procesin e rekrutimit në veçanti.</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 xml:space="preserve">Me vendimin nr. 2, datë 31.1.2017, të Këshillit Drejtues dhe në zbatim të nenit 68, të ligjit nr. 84/2016 dhe nenit 285 të ligjit nr. 115/2016 dhe në mungesë të një marrëveshjeje midis dy organeve kompetente KLD dhe Prokurori e Përgjithshme, për ndarjen e profileve, Këshilli Drejtues vendosi mbi fillimin e procedurave të provimit të pranimit për vitin akademik 2017-2018, numri i vendeve vakante 25 kandidatë, të ndarë sipas profileve: 15 gjyqtarë dhe 10 prokurorë.  </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 xml:space="preserve">Në datën 1.2.2017 Shkolla e Magjistraturës publikoi njoftimin për zhvillimin e provimit të pranimit, kriteret e pranimit dhe periudhën e regjistrimit. Ky njoftim u bë publik në faqen e internetit të Shkollës së Magjistraturës www.magjistratura.edu.al dhe në dy gazeta me tirazh të madh. </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Në zbatim të nenit 30 të ligjit nr. 96/2016, periudha për t’u regjistruar ishte 1 - 27 shkurt 2017. U regjistruan gjithsej 82 konkurrentë të diplomuar në Universitetet e Drejtësisë, publike dhe private, të akredituara, brenda Shqipërisë dhe në Universitetet e tjera jashtë saj, pas ekuivalentimit të tyre nga Ministria e Arsimit dhe e Sportit.</w:t>
      </w:r>
      <w:r w:rsidR="00D0460F">
        <w:rPr>
          <w:rFonts w:ascii="Times New Roman" w:hAnsi="Times New Roman" w:cs="Times New Roman"/>
          <w:lang w:val="en-US"/>
        </w:rPr>
        <w:t xml:space="preserve"> </w:t>
      </w:r>
      <w:r w:rsidRPr="004130C9">
        <w:rPr>
          <w:rFonts w:ascii="Times New Roman" w:hAnsi="Times New Roman" w:cs="Times New Roman"/>
          <w:lang w:val="en-US"/>
        </w:rPr>
        <w:t xml:space="preserve">Në datë 21.3.2017, komisioni i verifikimit të dokumentacionit të regjistrimit në </w:t>
      </w:r>
      <w:r w:rsidRPr="004130C9">
        <w:rPr>
          <w:rFonts w:ascii="Times New Roman" w:hAnsi="Times New Roman" w:cs="Times New Roman"/>
          <w:lang w:val="en-US"/>
        </w:rPr>
        <w:lastRenderedPageBreak/>
        <w:t xml:space="preserve">konkursin e pranimit, publikoi në faqen e internetit të Shkollës listën e aplikantëve, që plotësonin kriteret për pjesëmarrje në këtë konkurs. </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Në datën 19.4.2017, në mjediset e Shkollës u zhvillua procesi i trajnimit të aplikantëve në lidhje me rregullat e provimit në përgjithësi dhe në veçanti të fazës së parë, për mënyrën e plotësimit të fletës, si dhe të vlerësimit i cili bëhet në formë elektronike me anë të pajisjes scan-tron.</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Këshilli Drejtues i Shkollës së Magjistraturës, me vendimin nr. 7, datë 20.4.2017 miratoi Komisionin Administrator të provimit të pranimit për vitin 2017 - 2018.</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Duke pasur në vëmendje ndryshimet në Kushtetutën e Republikës së Shqipërisë, Kodin e Procedurave Administrative dhe rregullimet e reja mbi Etikën dhe Sjelljen e Prokurorëve, Drejtoria e Shkollës ngriti grupin e punës për rishikimin  e tezave të provimit për këto lëndë. Për secilën fushë u hartuan jo më shumë se 30 teza, sipas modelit të miratuar nga Këshilli Drejtues.</w:t>
      </w:r>
    </w:p>
    <w:p w:rsidR="004130C9" w:rsidRP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Provimi i pranimit u zhvillua në datat: 21.4.2017 faza e parë dhe 27.4.2017 faza e dytë, pranë Akademisë së Sigurisë, Sauk, Tiranë.</w:t>
      </w:r>
    </w:p>
    <w:p w:rsidR="004130C9" w:rsidRDefault="004130C9" w:rsidP="004130C9">
      <w:pPr>
        <w:pStyle w:val="My"/>
        <w:spacing w:line="276" w:lineRule="auto"/>
        <w:jc w:val="both"/>
        <w:rPr>
          <w:rFonts w:ascii="Times New Roman" w:hAnsi="Times New Roman" w:cs="Times New Roman"/>
          <w:lang w:val="en-US"/>
        </w:rPr>
      </w:pPr>
      <w:r w:rsidRPr="004130C9">
        <w:rPr>
          <w:rFonts w:ascii="Times New Roman" w:hAnsi="Times New Roman" w:cs="Times New Roman"/>
          <w:lang w:val="en-US"/>
        </w:rPr>
        <w:t>Monitorimi dhe survejimi i kandidatëve gjatë provimit u realizua nga një ekip i përbërë nga monitorues të huaj dhe vendas, jo juristë. Në këtë proces asistuan përfaqësues nga Këshilli i Europës, OSBE, EURALIUS, OPDAT.</w:t>
      </w:r>
    </w:p>
    <w:p w:rsidR="00D0460F" w:rsidRDefault="00D0460F" w:rsidP="004130C9">
      <w:pPr>
        <w:pStyle w:val="My"/>
        <w:spacing w:line="276" w:lineRule="auto"/>
        <w:jc w:val="both"/>
        <w:rPr>
          <w:rFonts w:ascii="Times New Roman" w:hAnsi="Times New Roman" w:cs="Times New Roman"/>
          <w:lang w:val="en-US"/>
        </w:rPr>
      </w:pPr>
    </w:p>
    <w:p w:rsidR="00D0460F" w:rsidRPr="00D0460F" w:rsidRDefault="00D0460F" w:rsidP="00D0460F">
      <w:pPr>
        <w:pStyle w:val="My"/>
        <w:spacing w:line="276" w:lineRule="auto"/>
        <w:jc w:val="both"/>
        <w:rPr>
          <w:rFonts w:ascii="Times New Roman" w:hAnsi="Times New Roman" w:cs="Times New Roman"/>
          <w:b/>
          <w:lang w:val="en-US"/>
        </w:rPr>
      </w:pPr>
      <w:r w:rsidRPr="00D0460F">
        <w:rPr>
          <w:rFonts w:ascii="Times New Roman" w:hAnsi="Times New Roman" w:cs="Times New Roman"/>
          <w:b/>
          <w:lang w:val="en-US"/>
        </w:rPr>
        <w:t>1.</w:t>
      </w:r>
      <w:r w:rsidRPr="00D0460F">
        <w:rPr>
          <w:rFonts w:ascii="Times New Roman" w:hAnsi="Times New Roman" w:cs="Times New Roman"/>
          <w:b/>
          <w:lang w:val="en-US"/>
        </w:rPr>
        <w:tab/>
        <w:t>Faza e parë e provimit - Testi i përgjithshëm</w:t>
      </w:r>
      <w:r w:rsidRPr="00D0460F">
        <w:rPr>
          <w:rFonts w:ascii="Times New Roman" w:hAnsi="Times New Roman" w:cs="Times New Roman"/>
          <w:b/>
          <w:lang w:val="en-US"/>
        </w:rPr>
        <w:tab/>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Teza përmban 100 pyetje, e përbërë nga 9 rubrika, nga fusha të ndryshme të së drejtës, test inteligjence, apo pyetje të tjera të karakterit të përgjithshëm, si edhe nga gjuha shqipe, e cila ka 20 pikë. Tezat e çdo rubrike ishin vendosur në zarfe (9 zarfe gjithsej). Teza e rënë në këtë fazë u përzgjodh nga konkurrentët në sallë, në mënyrë </w:t>
      </w:r>
      <w:r w:rsidRPr="00D0460F">
        <w:rPr>
          <w:rFonts w:ascii="Times New Roman" w:hAnsi="Times New Roman" w:cs="Times New Roman"/>
          <w:lang w:val="en-US"/>
        </w:rPr>
        <w:t xml:space="preserve">rastësore, për çdo rubrikë. Pyetjet u lexuan publikisht para kandidatëve dhe pasi u formua teza me 100 pyetje u fotokopjua në prani të tyre në sallën e provimit. Teza ishte e njëjtë për të gjithë. Kjo fazë kishte natyrë kualifikuese dhe vlerësimi u bë elektronik.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Testi zgjati 2.5 orë dhe morën pjesë 77 kandidatë. Përgjigjet në mënyrë skematike pa fjalë sipas teknikës së scan-tron-it në përfundim u lexuan nga pajisja  scan-tron në mënyrë elektronike dhe u shpallën fitues 50 kandidatë të cilët morën jo më pak se 60% të pikëve në total.</w:t>
      </w:r>
    </w:p>
    <w:p w:rsidR="00D0460F" w:rsidRPr="00D0460F" w:rsidRDefault="00D0460F" w:rsidP="00D0460F">
      <w:pPr>
        <w:pStyle w:val="My"/>
        <w:spacing w:line="276" w:lineRule="auto"/>
        <w:jc w:val="both"/>
        <w:rPr>
          <w:rFonts w:ascii="Times New Roman" w:hAnsi="Times New Roman" w:cs="Times New Roman"/>
          <w:lang w:val="en-US"/>
        </w:rPr>
      </w:pPr>
    </w:p>
    <w:p w:rsidR="00D0460F" w:rsidRPr="00D0460F" w:rsidRDefault="00D0460F" w:rsidP="00D0460F">
      <w:pPr>
        <w:pStyle w:val="My"/>
        <w:spacing w:line="276" w:lineRule="auto"/>
        <w:jc w:val="both"/>
        <w:rPr>
          <w:rFonts w:ascii="Times New Roman" w:hAnsi="Times New Roman" w:cs="Times New Roman"/>
          <w:b/>
          <w:lang w:val="en-US"/>
        </w:rPr>
      </w:pPr>
      <w:r w:rsidRPr="00D0460F">
        <w:rPr>
          <w:rFonts w:ascii="Times New Roman" w:hAnsi="Times New Roman" w:cs="Times New Roman"/>
          <w:b/>
          <w:lang w:val="en-US"/>
        </w:rPr>
        <w:t>2.</w:t>
      </w:r>
      <w:r w:rsidRPr="00D0460F">
        <w:rPr>
          <w:rFonts w:ascii="Times New Roman" w:hAnsi="Times New Roman" w:cs="Times New Roman"/>
          <w:b/>
          <w:lang w:val="en-US"/>
        </w:rPr>
        <w:tab/>
        <w:t xml:space="preserve">Faza e dytë e provimit - Testi profesional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Pas shpalljes publike në datë 21.4.2017, të rezultateve të fazës së parë, të listës së konkurrentëve të kualifikuar për fazën e dytë, u njoftua data dhe vendi i zhvillimit të fazës së dytë të provimit datë 27.4.2017 pranë Akademisë së Sigurisë, Sauk.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Shkolla e Magjistraturës kishte krijuar një fond prej gati 3000 pyetjesh/tezash, të cilat u futën në 7 zarfe. Teza u konceptua me pesë pyetje teorike nga fushat më të rëndësishme të së drejtës dhe dy kazuse praktike. Në provim çdo zarf, (përmbante tezat e një fushe), ku u zgjodhën pyetjet e provimit në mënyrë rastësore nga kandidatët në sallë që dolën vullnetarisht për të tërhequr tezat. Pyetjet u lexuan publikisht para kandidatëve. Tezat u fotokopjuan në sallë.</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Kohëzgjatja e provimit ishte 4 orë dhe morën pjesë 50 kandidatët të cilët u kualifikuan nga faza e parë (scan-tron).</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Pyetjet e provimit të testit profesional ishin të njëjta për të gjithë konkurruesit dhe u caktuan me short të hedhur nga një ose disa konkurrues, për secilin grup pyetjesh të ndara sipas fushave.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Me mbarimin e fazës së dytë të konkursit, në bashkëpunim me monitoruesit ndërkombëtarë u realizua faza e sekretimit të zarfeve të mëdhenj dhe të vegjël që mbanin emrin e kandidatëve të </w:t>
      </w:r>
      <w:r w:rsidRPr="00D0460F">
        <w:rPr>
          <w:rFonts w:ascii="Times New Roman" w:hAnsi="Times New Roman" w:cs="Times New Roman"/>
          <w:lang w:val="en-US"/>
        </w:rPr>
        <w:lastRenderedPageBreak/>
        <w:t xml:space="preserve">mbyllur dhe vulosur në prani të tyre. Kutitë me zarfet e sekretuara u dërguan pranë zyrave të OSBE-së.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Po atë ditë që u zhvillua faza e dytë e provimit, pas përfundimit të tij, Këshilli Drejtues i Shkollës, me vendimin nr. 11, datë 28.4.2017, miratoi anëtarët e Komisionit të Vlerësimit të përgjigjeve të provimit të përbërë nga 7 anëtarë, të cilët u propozuan nga Drejtori i Shkollës nga radhët e pedagogëve të brendshëm dhe të jashtëm të Shkollës, këta të fundit me eksperiencë, jo më pak se 5 vjet mësimdhënie në Shkollën e Magjistraturës.</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Çdo anëtar i komisionit dorëzoi vlerësimet me pikët për çdo numër sekretimi të pyetjes që korrigjoi. Shkolla bëri publike për kandidatët rezultatet e vlerësimit me pikë për çdo numër sekretimi. Korrigjimi u realizua nga data 2 maj deri në 4 maj 2017.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Pas daljes së rezultateve sipas numrave të sekretimit, u njoftuan kandidatët konkurrues që të paraqiteshin në Shkollë në një orar të caktuar, për të zhvilluar në mënyrë sa më transparente procedurën e përputhjes së numrave me emrat, për të mësuar renditjen e tyre sipas pikëve. Një përfaqësues i OSBE-së solli në Shkollë, kutitë me zarfet e vegjël të emrave (që nuk dolën asnjëherë që nga dita e provimit nga selia e OSBE-së). Në këtë moment u zhvillua në prani të kandidatëve të provimit hyrës procedura e hapjes së zarfeve të vegjël për të mësuar emrat e fituesve, duke lexuar me zë të lartë emrat e pjesëmarrësve.</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Radhitja e rezultateve përfundimtare sipas hierarkisë së pikëve, u shpall publikisht e afishuar në mjediset e Shkollës, që në atë moment. Nga 50 kandidatë që konkurruan në këtë fazë, u shpallën fitues vetëm 15 prej tyre pavarësisht numrit 25 të miratuar, kjo në zbatim të ligjit nr. 115/2016 dhe Rregullores së Brendshme të Shkollës së Magjistraturës. Këta kandidatë u kualifikuan me pikët më të larta në </w:t>
      </w:r>
      <w:r w:rsidRPr="00D0460F">
        <w:rPr>
          <w:rFonts w:ascii="Times New Roman" w:hAnsi="Times New Roman" w:cs="Times New Roman"/>
          <w:lang w:val="en-US"/>
        </w:rPr>
        <w:t>rend zbritës (deri në 60% të pikëve të marra nga ky testim), pavarësisht limitit të vendeve të shpallura vakante.</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15 kandidatë u kualifikuan me mbi 60% të pikëve totale.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Pas përfundimit të kësaj procedure Këshilli Drejtues i Shkollës pasi u njoh me rezultatet e testimit dhe ankesat e secilit prej kandidatëve miratoi listën e rezultateve të testimit profesional, e cila u bë publike në mjediset e Shkollës dhe në faqen e saj të internetit.</w:t>
      </w:r>
    </w:p>
    <w:p w:rsidR="00D0460F" w:rsidRPr="00D0460F" w:rsidRDefault="00D0460F" w:rsidP="00D0460F">
      <w:pPr>
        <w:pStyle w:val="My"/>
        <w:spacing w:line="276" w:lineRule="auto"/>
        <w:jc w:val="both"/>
        <w:rPr>
          <w:rFonts w:ascii="Times New Roman" w:hAnsi="Times New Roman" w:cs="Times New Roman"/>
          <w:lang w:val="en-US"/>
        </w:rPr>
      </w:pPr>
    </w:p>
    <w:p w:rsidR="00D0460F" w:rsidRPr="00D0460F" w:rsidRDefault="00D0460F" w:rsidP="00D0460F">
      <w:pPr>
        <w:pStyle w:val="My"/>
        <w:spacing w:line="276" w:lineRule="auto"/>
        <w:jc w:val="both"/>
        <w:rPr>
          <w:rFonts w:ascii="Times New Roman" w:hAnsi="Times New Roman" w:cs="Times New Roman"/>
          <w:b/>
          <w:lang w:val="en-US"/>
        </w:rPr>
      </w:pPr>
      <w:r w:rsidRPr="00D0460F">
        <w:rPr>
          <w:rFonts w:ascii="Times New Roman" w:hAnsi="Times New Roman" w:cs="Times New Roman"/>
          <w:b/>
          <w:lang w:val="en-US"/>
        </w:rPr>
        <w:t>3.</w:t>
      </w:r>
      <w:r w:rsidRPr="00D0460F">
        <w:rPr>
          <w:rFonts w:ascii="Times New Roman" w:hAnsi="Times New Roman" w:cs="Times New Roman"/>
          <w:b/>
          <w:lang w:val="en-US"/>
        </w:rPr>
        <w:tab/>
        <w:t>Testimi i shëndetit mendor dhe psikologjik</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Me vendimin nr. 13, datë 9.5.2017, Këshilli Drejtues i Shkollës miratoi Komisionin e Testimit të Shëndetit Mendor dhe Psikologjik, (referuar dhe listës me emrat e psikologëve dhe psikiatërve të miratuar paraprakisht nga Ministria e Drejtësisë), i përbërë nga dy psikologë, dy psikiatër dhe një pedagog i brendshëm me rolin e vëzhguesit nga Shkolla e Magjistraturës. </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Ky testim u realizua me shkrim dhe me gojë, u realizua në 4 ditë dhe rezultatet e tij iu bënë me dije Komisionit Administrator dhe Këshillit Drejtues të Shkollës. </w:t>
      </w:r>
    </w:p>
    <w:p w:rsid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Kandidatët për magjistratë u testuan mbi aftësitë psikologjike të tyre, mbi vlerësimin e përshtatshmërisë së tyre me profesionin dhe jo mbi gjendjen e tyre shëndetësore.</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Testi u zhvillua me shkrim dhe me gojë, nëpërmjet vlerësimit të funksionimit në grup dhe vlerësimit të një interviste individuale.</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Këshilli Drejtues me vendimin nr. 14, datë 15.5.2017, shpalli listën me rezultatet përfundimtare, sipas të cilës u shpallën fitues 15 kandidatë për magjistratë, për të ndjekur studimet në vitin akademik 2017-2018.</w:t>
      </w:r>
    </w:p>
    <w:p w:rsidR="00D0460F" w:rsidRPr="00D0460F" w:rsidRDefault="00D0460F" w:rsidP="00D0460F">
      <w:pPr>
        <w:pStyle w:val="My"/>
        <w:spacing w:line="276" w:lineRule="auto"/>
        <w:jc w:val="both"/>
        <w:rPr>
          <w:rFonts w:ascii="Times New Roman" w:hAnsi="Times New Roman" w:cs="Times New Roman"/>
          <w:lang w:val="en-US"/>
        </w:rPr>
      </w:pPr>
      <w:r w:rsidRPr="00D0460F">
        <w:rPr>
          <w:rFonts w:ascii="Times New Roman" w:hAnsi="Times New Roman" w:cs="Times New Roman"/>
          <w:lang w:val="en-US"/>
        </w:rPr>
        <w:t xml:space="preserve">Gjatë vitit akademik 2017-2018, Shkolla e Magjistraturës realizoi Programin Mësimor të Trajnimit Fillestar për vitin e parë, të dytë dhe të tretë. </w:t>
      </w:r>
    </w:p>
    <w:p w:rsidR="004130C9" w:rsidRDefault="00CF3AE0" w:rsidP="00D0460F">
      <w:pPr>
        <w:pStyle w:val="My"/>
        <w:spacing w:line="276" w:lineRule="auto"/>
        <w:jc w:val="both"/>
        <w:rPr>
          <w:rFonts w:ascii="Times New Roman" w:hAnsi="Times New Roman" w:cs="Times New Roman"/>
          <w:lang w:val="en-US"/>
        </w:rPr>
      </w:pPr>
      <w:r>
        <w:rPr>
          <w:rFonts w:ascii="Times New Roman" w:hAnsi="Times New Roman" w:cs="Times New Roman"/>
          <w:lang w:val="en-US"/>
        </w:rPr>
        <w:lastRenderedPageBreak/>
        <w:pict>
          <v:rect id="_x0000_s1050" style="position:absolute;left:0;text-align:left;margin-left:283.5pt;margin-top:31.85pt;width:233.35pt;height:447.4pt;z-index:25171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" fillcolor="#4f81bd" stroked="f" strokeweight="2pt">
            <v:fill opacity="12336f"/>
            <v:textbox style="mso-next-textbox:#_x0000_s1050" inset="21.6pt,21.6pt,21.6pt,21.6pt">
              <w:txbxContent>
                <w:p w:rsidR="005372E3" w:rsidRDefault="005372E3" w:rsidP="00B02831">
                  <w:pPr>
                    <w:jc w:val="both"/>
                    <w:rPr>
                      <w:rFonts w:ascii="Arial" w:hAnsi="Arial" w:cs="Arial"/>
                      <w:b/>
                      <w:color w:val="CC9966" w:themeColor="accent2"/>
                      <w:sz w:val="36"/>
                    </w:rPr>
                  </w:pPr>
                  <w:r>
                    <w:rPr>
                      <w:rFonts w:ascii="Arial" w:hAnsi="Arial" w:cs="Arial"/>
                      <w:b/>
                      <w:color w:val="CC9966" w:themeColor="accent2"/>
                      <w:sz w:val="36"/>
                    </w:rPr>
                    <w:t>Grupi i par</w:t>
                  </w:r>
                  <w:r w:rsidRPr="00B02831">
                    <w:rPr>
                      <w:rFonts w:ascii="Arial" w:hAnsi="Arial" w:cs="Arial"/>
                      <w:b/>
                      <w:color w:val="CC9966" w:themeColor="accent2"/>
                      <w:sz w:val="36"/>
                    </w:rPr>
                    <w:t>ë</w:t>
                  </w:r>
                  <w:r>
                    <w:rPr>
                      <w:rFonts w:ascii="Arial" w:hAnsi="Arial" w:cs="Arial"/>
                      <w:b/>
                      <w:color w:val="CC9966" w:themeColor="accent2"/>
                      <w:sz w:val="36"/>
                    </w:rPr>
                    <w:t>:</w:t>
                  </w:r>
                </w:p>
                <w:p w:rsidR="005372E3" w:rsidRPr="00B02831" w:rsidRDefault="005372E3" w:rsidP="00B02831">
                  <w:pPr>
                    <w:jc w:val="both"/>
                    <w:rPr>
                      <w:rFonts w:ascii="Arial" w:hAnsi="Arial" w:cs="Arial"/>
                      <w:b/>
                      <w:color w:val="CC9966" w:themeColor="accent2"/>
                      <w:sz w:val="36"/>
                    </w:rPr>
                  </w:pPr>
                </w:p>
                <w:p w:rsidR="005372E3" w:rsidRPr="00B02831" w:rsidRDefault="005372E3" w:rsidP="00B02831">
                  <w:pPr>
                    <w:jc w:val="both"/>
                    <w:rPr>
                      <w:rFonts w:ascii="Arial" w:hAnsi="Arial" w:cs="Arial"/>
                    </w:rPr>
                  </w:pPr>
                  <w:r w:rsidRPr="00B02831">
                    <w:rPr>
                      <w:rFonts w:ascii="Arial" w:hAnsi="Arial" w:cs="Arial"/>
                    </w:rPr>
                    <w:t>1.</w:t>
                  </w:r>
                  <w:r w:rsidRPr="00B02831">
                    <w:rPr>
                      <w:rFonts w:ascii="Arial" w:hAnsi="Arial" w:cs="Arial"/>
                    </w:rPr>
                    <w:tab/>
                    <w:t>E drejta civile</w:t>
                  </w:r>
                </w:p>
                <w:p w:rsidR="005372E3" w:rsidRPr="00B02831" w:rsidRDefault="005372E3" w:rsidP="00B02831">
                  <w:pPr>
                    <w:jc w:val="both"/>
                    <w:rPr>
                      <w:rFonts w:ascii="Arial" w:hAnsi="Arial" w:cs="Arial"/>
                    </w:rPr>
                  </w:pPr>
                  <w:r w:rsidRPr="00B02831">
                    <w:rPr>
                      <w:rFonts w:ascii="Arial" w:hAnsi="Arial" w:cs="Arial"/>
                    </w:rPr>
                    <w:t>2.</w:t>
                  </w:r>
                  <w:r w:rsidRPr="00B02831">
                    <w:rPr>
                      <w:rFonts w:ascii="Arial" w:hAnsi="Arial" w:cs="Arial"/>
                    </w:rPr>
                    <w:tab/>
                    <w:t xml:space="preserve">E drejta penale </w:t>
                  </w:r>
                </w:p>
                <w:p w:rsidR="005372E3" w:rsidRPr="00B02831" w:rsidRDefault="005372E3" w:rsidP="00B02831">
                  <w:pPr>
                    <w:jc w:val="both"/>
                    <w:rPr>
                      <w:rFonts w:ascii="Arial" w:hAnsi="Arial" w:cs="Arial"/>
                    </w:rPr>
                  </w:pPr>
                  <w:r w:rsidRPr="00B02831">
                    <w:rPr>
                      <w:rFonts w:ascii="Arial" w:hAnsi="Arial" w:cs="Arial"/>
                    </w:rPr>
                    <w:t>3.</w:t>
                  </w:r>
                  <w:r w:rsidRPr="00B02831">
                    <w:rPr>
                      <w:rFonts w:ascii="Arial" w:hAnsi="Arial" w:cs="Arial"/>
                    </w:rPr>
                    <w:tab/>
                    <w:t>Procedura civile</w:t>
                  </w:r>
                </w:p>
                <w:p w:rsidR="005372E3" w:rsidRPr="00B02831" w:rsidRDefault="005372E3" w:rsidP="00B02831">
                  <w:pPr>
                    <w:jc w:val="both"/>
                    <w:rPr>
                      <w:rFonts w:ascii="Arial" w:hAnsi="Arial" w:cs="Arial"/>
                    </w:rPr>
                  </w:pPr>
                  <w:r w:rsidRPr="00B02831">
                    <w:rPr>
                      <w:rFonts w:ascii="Arial" w:hAnsi="Arial" w:cs="Arial"/>
                    </w:rPr>
                    <w:t>4.</w:t>
                  </w:r>
                  <w:r w:rsidRPr="00B02831">
                    <w:rPr>
                      <w:rFonts w:ascii="Arial" w:hAnsi="Arial" w:cs="Arial"/>
                    </w:rPr>
                    <w:tab/>
                    <w:t>Procedura penale</w:t>
                  </w:r>
                </w:p>
                <w:p w:rsidR="005372E3" w:rsidRPr="00B02831" w:rsidRDefault="005372E3" w:rsidP="00B02831">
                  <w:pPr>
                    <w:jc w:val="both"/>
                    <w:rPr>
                      <w:rFonts w:ascii="Arial" w:hAnsi="Arial" w:cs="Arial"/>
                    </w:rPr>
                  </w:pPr>
                  <w:r w:rsidRPr="00B02831">
                    <w:rPr>
                      <w:rFonts w:ascii="Arial" w:hAnsi="Arial" w:cs="Arial"/>
                    </w:rPr>
                    <w:t>5.</w:t>
                  </w:r>
                  <w:r w:rsidRPr="00B02831">
                    <w:rPr>
                      <w:rFonts w:ascii="Arial" w:hAnsi="Arial" w:cs="Arial"/>
                    </w:rPr>
                    <w:tab/>
                    <w:t>E drejta kushtetuese</w:t>
                  </w:r>
                </w:p>
                <w:p w:rsidR="005372E3" w:rsidRPr="00B02831" w:rsidRDefault="005372E3" w:rsidP="00B02831">
                  <w:pPr>
                    <w:jc w:val="both"/>
                    <w:rPr>
                      <w:rFonts w:ascii="Arial" w:hAnsi="Arial" w:cs="Arial"/>
                    </w:rPr>
                  </w:pPr>
                  <w:r w:rsidRPr="00B02831">
                    <w:rPr>
                      <w:rFonts w:ascii="Arial" w:hAnsi="Arial" w:cs="Arial"/>
                    </w:rPr>
                    <w:t>6.</w:t>
                  </w:r>
                  <w:r w:rsidRPr="00B02831">
                    <w:rPr>
                      <w:rFonts w:ascii="Arial" w:hAnsi="Arial" w:cs="Arial"/>
                    </w:rPr>
                    <w:tab/>
                    <w:t>Të drejtat e njeriut</w:t>
                  </w:r>
                </w:p>
                <w:p w:rsidR="005372E3" w:rsidRPr="00B02831" w:rsidRDefault="005372E3" w:rsidP="00B02831">
                  <w:pPr>
                    <w:jc w:val="both"/>
                    <w:rPr>
                      <w:rFonts w:ascii="Arial" w:hAnsi="Arial" w:cs="Arial"/>
                    </w:rPr>
                  </w:pPr>
                  <w:r w:rsidRPr="00B02831">
                    <w:rPr>
                      <w:rFonts w:ascii="Arial" w:hAnsi="Arial" w:cs="Arial"/>
                    </w:rPr>
                    <w:t>7.</w:t>
                  </w:r>
                  <w:r w:rsidRPr="00B02831">
                    <w:rPr>
                      <w:rFonts w:ascii="Arial" w:hAnsi="Arial" w:cs="Arial"/>
                    </w:rPr>
                    <w:tab/>
                    <w:t>E drejta e BE-së</w:t>
                  </w:r>
                </w:p>
                <w:p w:rsidR="005372E3" w:rsidRPr="00B02831" w:rsidRDefault="005372E3" w:rsidP="00B02831">
                  <w:pPr>
                    <w:jc w:val="both"/>
                    <w:rPr>
                      <w:rFonts w:ascii="Arial" w:hAnsi="Arial" w:cs="Arial"/>
                    </w:rPr>
                  </w:pPr>
                  <w:r w:rsidRPr="00B02831">
                    <w:rPr>
                      <w:rFonts w:ascii="Arial" w:hAnsi="Arial" w:cs="Arial"/>
                    </w:rPr>
                    <w:t>8.</w:t>
                  </w:r>
                  <w:r w:rsidRPr="00B02831">
                    <w:rPr>
                      <w:rFonts w:ascii="Arial" w:hAnsi="Arial" w:cs="Arial"/>
                    </w:rPr>
                    <w:tab/>
                    <w:t>E drejta administrative</w:t>
                  </w:r>
                </w:p>
                <w:p w:rsidR="005372E3" w:rsidRPr="00B02831" w:rsidRDefault="005372E3" w:rsidP="00B02831">
                  <w:pPr>
                    <w:jc w:val="both"/>
                    <w:rPr>
                      <w:rFonts w:ascii="Arial" w:hAnsi="Arial" w:cs="Arial"/>
                    </w:rPr>
                  </w:pPr>
                  <w:r w:rsidRPr="00B02831">
                    <w:rPr>
                      <w:rFonts w:ascii="Arial" w:hAnsi="Arial" w:cs="Arial"/>
                    </w:rPr>
                    <w:t>9.</w:t>
                  </w:r>
                  <w:r w:rsidRPr="00B02831">
                    <w:rPr>
                      <w:rFonts w:ascii="Arial" w:hAnsi="Arial" w:cs="Arial"/>
                    </w:rPr>
                    <w:tab/>
                    <w:t xml:space="preserve">Shkrim &amp; arsyetim ligjor (pjesa e parë) </w:t>
                  </w:r>
                </w:p>
                <w:p w:rsidR="005372E3" w:rsidRPr="00B02831" w:rsidRDefault="005372E3" w:rsidP="00B02831">
                  <w:pPr>
                    <w:jc w:val="both"/>
                    <w:rPr>
                      <w:rFonts w:ascii="Arial" w:hAnsi="Arial" w:cs="Arial"/>
                    </w:rPr>
                  </w:pPr>
                  <w:r w:rsidRPr="00B02831">
                    <w:rPr>
                      <w:rFonts w:ascii="Arial" w:hAnsi="Arial" w:cs="Arial"/>
                    </w:rPr>
                    <w:t>10.</w:t>
                  </w:r>
                  <w:r w:rsidRPr="00B02831">
                    <w:rPr>
                      <w:rFonts w:ascii="Arial" w:hAnsi="Arial" w:cs="Arial"/>
                    </w:rPr>
                    <w:tab/>
                    <w:t>Etika profesionale</w:t>
                  </w:r>
                </w:p>
                <w:p w:rsidR="005372E3" w:rsidRPr="00B02831" w:rsidRDefault="005372E3" w:rsidP="00B02831">
                  <w:pPr>
                    <w:jc w:val="both"/>
                    <w:rPr>
                      <w:rFonts w:ascii="Arial" w:hAnsi="Arial" w:cs="Arial"/>
                    </w:rPr>
                  </w:pPr>
                  <w:r w:rsidRPr="00B02831">
                    <w:rPr>
                      <w:rFonts w:ascii="Arial" w:hAnsi="Arial" w:cs="Arial"/>
                    </w:rPr>
                    <w:t>11.</w:t>
                  </w:r>
                  <w:r w:rsidRPr="00B02831">
                    <w:rPr>
                      <w:rFonts w:ascii="Arial" w:hAnsi="Arial" w:cs="Arial"/>
                    </w:rPr>
                    <w:tab/>
                    <w:t>E drejta familjare</w:t>
                  </w:r>
                </w:p>
                <w:p w:rsidR="005372E3" w:rsidRDefault="005372E3" w:rsidP="00B02831">
                  <w:pPr>
                    <w:jc w:val="both"/>
                    <w:rPr>
                      <w:rFonts w:ascii="Arial" w:hAnsi="Arial" w:cs="Arial"/>
                    </w:rPr>
                  </w:pPr>
                  <w:r w:rsidRPr="00B02831">
                    <w:rPr>
                      <w:rFonts w:ascii="Arial" w:hAnsi="Arial" w:cs="Arial"/>
                    </w:rPr>
                    <w:t>12.</w:t>
                  </w:r>
                  <w:r w:rsidRPr="00B02831">
                    <w:rPr>
                      <w:rFonts w:ascii="Arial" w:hAnsi="Arial" w:cs="Arial"/>
                    </w:rPr>
                    <w:tab/>
                    <w:t>E drejta tregtare dhe e kompanive</w:t>
                  </w:r>
                </w:p>
                <w:p w:rsidR="005372E3" w:rsidRDefault="005372E3" w:rsidP="00B02831">
                  <w:pPr>
                    <w:jc w:val="both"/>
                    <w:rPr>
                      <w:rFonts w:ascii="Arial" w:hAnsi="Arial" w:cs="Arial"/>
                    </w:rPr>
                  </w:pPr>
                </w:p>
                <w:p w:rsidR="005372E3" w:rsidRPr="00B02831" w:rsidRDefault="005372E3" w:rsidP="00B02831">
                  <w:pPr>
                    <w:jc w:val="both"/>
                    <w:rPr>
                      <w:rFonts w:ascii="Arial" w:hAnsi="Arial" w:cs="Arial"/>
                      <w:b/>
                      <w:sz w:val="36"/>
                    </w:rPr>
                  </w:pPr>
                  <w:r w:rsidRPr="00B02831">
                    <w:rPr>
                      <w:rFonts w:ascii="Arial" w:hAnsi="Arial" w:cs="Arial"/>
                      <w:b/>
                      <w:color w:val="CC9966" w:themeColor="accent2"/>
                      <w:sz w:val="36"/>
                    </w:rPr>
                    <w:t>Grupi i dytë</w:t>
                  </w:r>
                  <w:r>
                    <w:rPr>
                      <w:rFonts w:ascii="Arial" w:hAnsi="Arial" w:cs="Arial"/>
                      <w:b/>
                      <w:color w:val="CC9966" w:themeColor="accent2"/>
                      <w:sz w:val="36"/>
                    </w:rPr>
                    <w:t>:</w:t>
                  </w:r>
                </w:p>
                <w:p w:rsidR="005372E3" w:rsidRPr="00B02831" w:rsidRDefault="005372E3" w:rsidP="00B02831">
                  <w:pPr>
                    <w:jc w:val="both"/>
                    <w:rPr>
                      <w:rFonts w:ascii="Arial" w:hAnsi="Arial" w:cs="Arial"/>
                    </w:rPr>
                  </w:pPr>
                </w:p>
                <w:p w:rsidR="005372E3" w:rsidRPr="00B02831" w:rsidRDefault="005372E3" w:rsidP="00B02831">
                  <w:pPr>
                    <w:jc w:val="both"/>
                    <w:rPr>
                      <w:rFonts w:ascii="Arial" w:hAnsi="Arial" w:cs="Arial"/>
                    </w:rPr>
                  </w:pPr>
                  <w:r w:rsidRPr="00B02831">
                    <w:rPr>
                      <w:rFonts w:ascii="Arial" w:hAnsi="Arial" w:cs="Arial"/>
                    </w:rPr>
                    <w:t>1.</w:t>
                  </w:r>
                  <w:r w:rsidRPr="00B02831">
                    <w:rPr>
                      <w:rFonts w:ascii="Arial" w:hAnsi="Arial" w:cs="Arial"/>
                    </w:rPr>
                    <w:tab/>
                    <w:t xml:space="preserve">E drejta e punës dhe e drejta e sigurimeve shoqërore </w:t>
                  </w:r>
                </w:p>
                <w:p w:rsidR="005372E3" w:rsidRPr="00B02831" w:rsidRDefault="005372E3" w:rsidP="00B02831">
                  <w:pPr>
                    <w:jc w:val="both"/>
                    <w:rPr>
                      <w:rFonts w:ascii="Arial" w:hAnsi="Arial" w:cs="Arial"/>
                    </w:rPr>
                  </w:pPr>
                  <w:r w:rsidRPr="00B02831">
                    <w:rPr>
                      <w:rFonts w:ascii="Arial" w:hAnsi="Arial" w:cs="Arial"/>
                    </w:rPr>
                    <w:t>2.</w:t>
                  </w:r>
                  <w:r w:rsidRPr="00B02831">
                    <w:rPr>
                      <w:rFonts w:ascii="Arial" w:hAnsi="Arial" w:cs="Arial"/>
                    </w:rPr>
                    <w:tab/>
                    <w:t>E drejta ndërkombëtare  private</w:t>
                  </w:r>
                </w:p>
                <w:p w:rsidR="005372E3" w:rsidRPr="00B02831" w:rsidRDefault="005372E3" w:rsidP="00B02831">
                  <w:pPr>
                    <w:jc w:val="both"/>
                    <w:rPr>
                      <w:rFonts w:ascii="Arial" w:hAnsi="Arial" w:cs="Arial"/>
                    </w:rPr>
                  </w:pPr>
                  <w:r w:rsidRPr="00B02831">
                    <w:rPr>
                      <w:rFonts w:ascii="Arial" w:hAnsi="Arial" w:cs="Arial"/>
                    </w:rPr>
                    <w:t>3.</w:t>
                  </w:r>
                  <w:r w:rsidRPr="00B02831">
                    <w:rPr>
                      <w:rFonts w:ascii="Arial" w:hAnsi="Arial" w:cs="Arial"/>
                    </w:rPr>
                    <w:tab/>
                    <w:t>E drejta tatimore-doganore</w:t>
                  </w:r>
                </w:p>
                <w:p w:rsidR="005372E3" w:rsidRPr="00B02831" w:rsidRDefault="005372E3" w:rsidP="00B02831">
                  <w:pPr>
                    <w:jc w:val="both"/>
                    <w:rPr>
                      <w:rFonts w:ascii="Arial" w:hAnsi="Arial" w:cs="Arial"/>
                    </w:rPr>
                  </w:pPr>
                  <w:r w:rsidRPr="00B02831">
                    <w:rPr>
                      <w:rFonts w:ascii="Arial" w:hAnsi="Arial" w:cs="Arial"/>
                    </w:rPr>
                    <w:t>4.</w:t>
                  </w:r>
                  <w:r w:rsidRPr="00B02831">
                    <w:rPr>
                      <w:rFonts w:ascii="Arial" w:hAnsi="Arial" w:cs="Arial"/>
                    </w:rPr>
                    <w:tab/>
                    <w:t>Menaxhimi i gjykatave/ prokurorive</w:t>
                  </w:r>
                </w:p>
                <w:p w:rsidR="005372E3" w:rsidRPr="00B02831" w:rsidRDefault="005372E3" w:rsidP="00B02831">
                  <w:pPr>
                    <w:jc w:val="both"/>
                    <w:rPr>
                      <w:rFonts w:ascii="Arial" w:hAnsi="Arial" w:cs="Arial"/>
                    </w:rPr>
                  </w:pPr>
                  <w:r w:rsidRPr="00B02831">
                    <w:rPr>
                      <w:rFonts w:ascii="Arial" w:hAnsi="Arial" w:cs="Arial"/>
                    </w:rPr>
                    <w:t>5.</w:t>
                  </w:r>
                  <w:r w:rsidRPr="00B02831">
                    <w:rPr>
                      <w:rFonts w:ascii="Arial" w:hAnsi="Arial" w:cs="Arial"/>
                    </w:rPr>
                    <w:tab/>
                    <w:t>Pronësia intelektuale</w:t>
                  </w:r>
                </w:p>
                <w:p w:rsidR="005372E3" w:rsidRDefault="005372E3" w:rsidP="00B02831">
                  <w:pPr>
                    <w:jc w:val="both"/>
                    <w:rPr>
                      <w:rFonts w:ascii="Arial" w:hAnsi="Arial" w:cs="Arial"/>
                    </w:rPr>
                  </w:pPr>
                  <w:r w:rsidRPr="00B02831">
                    <w:rPr>
                      <w:rFonts w:ascii="Arial" w:hAnsi="Arial" w:cs="Arial"/>
                    </w:rPr>
                    <w:t>6.</w:t>
                  </w:r>
                  <w:r w:rsidRPr="00B02831">
                    <w:rPr>
                      <w:rFonts w:ascii="Arial" w:hAnsi="Arial" w:cs="Arial"/>
                    </w:rPr>
                    <w:tab/>
                    <w:t>Ndërmjetësimi</w:t>
                  </w:r>
                  <w:r>
                    <w:rPr>
                      <w:rFonts w:ascii="Arial" w:hAnsi="Arial" w:cs="Arial"/>
                    </w:rPr>
                    <w:t>, arbitrazhi</w:t>
                  </w: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Default="005372E3" w:rsidP="00B02831">
                  <w:pPr>
                    <w:jc w:val="both"/>
                    <w:rPr>
                      <w:rFonts w:ascii="Arial" w:hAnsi="Arial" w:cs="Arial"/>
                    </w:rPr>
                  </w:pPr>
                </w:p>
                <w:p w:rsidR="005372E3" w:rsidRPr="009D3274" w:rsidRDefault="005372E3" w:rsidP="00B02831">
                  <w:pPr>
                    <w:jc w:val="both"/>
                    <w:rPr>
                      <w:rFonts w:ascii="Arial" w:hAnsi="Arial" w:cs="Arial"/>
                    </w:rPr>
                  </w:pPr>
                  <w:r w:rsidRPr="00B02831">
                    <w:rPr>
                      <w:rFonts w:ascii="Arial" w:hAnsi="Arial" w:cs="Arial"/>
                    </w:rPr>
                    <w:t>arbitrazhi</w:t>
                  </w:r>
                  <w:r w:rsidRPr="009D3274">
                    <w:rPr>
                      <w:rFonts w:ascii="Arial" w:hAnsi="Arial" w:cs="Arial"/>
                    </w:rPr>
                    <w:t>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LoremIpsum passages, and more recently with desktop publishing software like Aldus PageMaker including versions of LoremIpsum.</w:t>
                  </w:r>
                </w:p>
              </w:txbxContent>
            </v:textbox>
            <w10:wrap type="square"/>
          </v:rect>
        </w:pict>
      </w:r>
      <w:r w:rsidR="00D0460F" w:rsidRPr="00D0460F">
        <w:rPr>
          <w:rFonts w:ascii="Times New Roman" w:hAnsi="Times New Roman" w:cs="Times New Roman"/>
          <w:lang w:val="en-US"/>
        </w:rPr>
        <w:t>Ky vit dëshmoi përsëri për vazhdimësinë e kësaj tradite pozitive të krijuar nga Shkolla e Magjistraturës në një stad më të lartë. Kjo mbetet edhe një nga objektivat e punës në Shkollë për të ardhmen, duke synuar gjithmonë në konsolidimin e procesit të Trajnimit Fillestar, si një pjesë e rëndësishme e procesit të konsolidimit dhe të rritjes së qëndrueshmërisë së vetë Shkollës, si një institucion bashkëkohor, që ndjek modelet e shkollave europiane homologe më të përparuara.</w:t>
      </w:r>
    </w:p>
    <w:p w:rsidR="004130C9" w:rsidRDefault="004130C9" w:rsidP="005F5AE4">
      <w:pPr>
        <w:pStyle w:val="My"/>
        <w:spacing w:line="276" w:lineRule="auto"/>
        <w:jc w:val="both"/>
        <w:rPr>
          <w:rFonts w:ascii="Times New Roman" w:hAnsi="Times New Roman" w:cs="Times New Roman"/>
          <w:lang w:val="en-US"/>
        </w:rPr>
      </w:pPr>
    </w:p>
    <w:p w:rsidR="00D0460F" w:rsidRDefault="00D0460F" w:rsidP="00D0460F">
      <w:pPr>
        <w:pStyle w:val="My"/>
        <w:spacing w:line="276" w:lineRule="auto"/>
        <w:jc w:val="both"/>
        <w:rPr>
          <w:rFonts w:ascii="Times New Roman" w:hAnsi="Times New Roman" w:cs="Times New Roman"/>
          <w:b/>
          <w:color w:val="CC9966" w:themeColor="accent2"/>
          <w:sz w:val="32"/>
          <w:lang w:val="en-US"/>
        </w:rPr>
      </w:pPr>
      <w:r w:rsidRPr="00D0460F">
        <w:rPr>
          <w:rFonts w:ascii="Times New Roman" w:hAnsi="Times New Roman" w:cs="Times New Roman"/>
          <w:b/>
          <w:color w:val="CC9966" w:themeColor="accent2"/>
          <w:sz w:val="32"/>
          <w:lang w:val="en-US"/>
        </w:rPr>
        <w:t>1.3</w:t>
      </w:r>
      <w:r w:rsidR="009D4032">
        <w:rPr>
          <w:rFonts w:ascii="Times New Roman" w:hAnsi="Times New Roman" w:cs="Times New Roman"/>
          <w:b/>
          <w:color w:val="CC9966" w:themeColor="accent2"/>
          <w:sz w:val="32"/>
          <w:lang w:val="en-US"/>
        </w:rPr>
        <w:t>.</w:t>
      </w:r>
      <w:r w:rsidRPr="00D0460F">
        <w:rPr>
          <w:rFonts w:ascii="Times New Roman" w:hAnsi="Times New Roman" w:cs="Times New Roman"/>
          <w:b/>
          <w:color w:val="CC9966" w:themeColor="accent2"/>
          <w:sz w:val="32"/>
          <w:lang w:val="en-US"/>
        </w:rPr>
        <w:t xml:space="preserve"> Realizimi i programit të vitit të parë të Shkollës</w:t>
      </w:r>
    </w:p>
    <w:p w:rsidR="00D0460F" w:rsidRDefault="00D0460F" w:rsidP="00D0460F">
      <w:pPr>
        <w:pStyle w:val="My"/>
        <w:spacing w:line="276" w:lineRule="auto"/>
        <w:jc w:val="both"/>
        <w:rPr>
          <w:rFonts w:ascii="Times New Roman" w:hAnsi="Times New Roman" w:cs="Times New Roman"/>
          <w:b/>
          <w:color w:val="CC9966" w:themeColor="accent2"/>
          <w:sz w:val="32"/>
          <w:lang w:val="en-US"/>
        </w:rPr>
      </w:pPr>
    </w:p>
    <w:p w:rsidR="00D0460F" w:rsidRDefault="00D0460F" w:rsidP="00D0460F">
      <w:pPr>
        <w:pStyle w:val="My"/>
        <w:rPr>
          <w:rFonts w:ascii="Times New Roman" w:hAnsi="Times New Roman" w:cs="Times New Roman"/>
          <w:lang w:val="en-US"/>
        </w:rPr>
      </w:pPr>
      <w:r w:rsidRPr="00D0460F">
        <w:rPr>
          <w:rFonts w:ascii="Times New Roman" w:hAnsi="Times New Roman" w:cs="Times New Roman"/>
          <w:lang w:val="en-US"/>
        </w:rPr>
        <w:t>Gjatë vitit akademik 2017-2018 në vitin e parë në Shkollën e Magjistraturës u përgatitën 13 kandidatë për magjistratë në profilin gjyqtar dhe 2 kandidatë për magjistratë në profilin prokuror.</w:t>
      </w:r>
    </w:p>
    <w:p w:rsidR="00D0460F" w:rsidRPr="00D0460F" w:rsidRDefault="00D0460F" w:rsidP="00D0460F">
      <w:pPr>
        <w:pStyle w:val="My"/>
        <w:rPr>
          <w:rFonts w:ascii="Times New Roman" w:hAnsi="Times New Roman" w:cs="Times New Roman"/>
          <w:lang w:val="en-US"/>
        </w:rPr>
      </w:pPr>
    </w:p>
    <w:p w:rsidR="00D0460F" w:rsidRDefault="00D0460F" w:rsidP="00D0460F">
      <w:pPr>
        <w:pStyle w:val="My"/>
        <w:spacing w:line="276" w:lineRule="auto"/>
        <w:jc w:val="both"/>
        <w:rPr>
          <w:rFonts w:ascii="Times New Roman" w:hAnsi="Times New Roman" w:cs="Times New Roman"/>
          <w:b/>
          <w:color w:val="CC9966" w:themeColor="accent2"/>
          <w:sz w:val="32"/>
          <w:lang w:val="en-US"/>
        </w:rPr>
      </w:pPr>
      <w:r w:rsidRPr="00D0460F">
        <w:rPr>
          <w:rFonts w:ascii="Times New Roman" w:hAnsi="Times New Roman" w:cs="Times New Roman"/>
          <w:b/>
          <w:noProof/>
          <w:color w:val="CC9966" w:themeColor="accent2"/>
          <w:sz w:val="32"/>
          <w:lang w:val="en-US" w:eastAsia="en-US"/>
        </w:rPr>
        <w:drawing>
          <wp:inline distT="0" distB="0" distL="0" distR="0">
            <wp:extent cx="3032760" cy="1491975"/>
            <wp:effectExtent l="19050" t="0" r="0" b="0"/>
            <wp:docPr id="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rcRect t="15090"/>
                    <a:stretch>
                      <a:fillRect/>
                    </a:stretch>
                  </pic:blipFill>
                  <pic:spPr>
                    <a:xfrm>
                      <a:off x="0" y="0"/>
                      <a:ext cx="3032760" cy="1491975"/>
                    </a:xfrm>
                    <a:prstGeom prst="rect">
                      <a:avLst/>
                    </a:prstGeom>
                  </pic:spPr>
                </pic:pic>
              </a:graphicData>
            </a:graphic>
          </wp:inline>
        </w:drawing>
      </w:r>
    </w:p>
    <w:p w:rsidR="00D0460F" w:rsidRPr="00D0460F" w:rsidRDefault="00D0460F" w:rsidP="00D0460F">
      <w:pPr>
        <w:jc w:val="center"/>
        <w:rPr>
          <w:rFonts w:eastAsia="Tw Cen MT"/>
          <w:kern w:val="24"/>
          <w:sz w:val="22"/>
          <w:lang w:val="sq-AL" w:eastAsia="en-US"/>
        </w:rPr>
      </w:pPr>
      <w:r>
        <w:rPr>
          <w:rFonts w:eastAsia="MS Mincho"/>
          <w:i/>
          <w:kern w:val="24"/>
          <w:sz w:val="20"/>
          <w:szCs w:val="16"/>
          <w:lang w:val="sq-AL" w:eastAsia="en-GB"/>
        </w:rPr>
        <w:t xml:space="preserve">Figura nr.3 </w:t>
      </w:r>
      <w:r w:rsidRPr="00D0460F">
        <w:rPr>
          <w:rFonts w:eastAsia="MS Mincho"/>
          <w:i/>
          <w:kern w:val="24"/>
          <w:sz w:val="20"/>
          <w:szCs w:val="16"/>
          <w:lang w:val="sq-AL" w:eastAsia="en-GB"/>
        </w:rPr>
        <w:t>Viti i parë akademik 2017-2018</w:t>
      </w:r>
    </w:p>
    <w:p w:rsidR="00D0460F" w:rsidRDefault="00D0460F" w:rsidP="00D0460F">
      <w:pPr>
        <w:pStyle w:val="My"/>
        <w:spacing w:line="276" w:lineRule="auto"/>
        <w:jc w:val="both"/>
        <w:rPr>
          <w:rFonts w:ascii="Times New Roman" w:hAnsi="Times New Roman" w:cs="Times New Roman"/>
          <w:b/>
          <w:color w:val="CC9966" w:themeColor="accent2"/>
          <w:sz w:val="32"/>
          <w:lang w:val="en-US"/>
        </w:rPr>
      </w:pPr>
    </w:p>
    <w:p w:rsidR="00B02831" w:rsidRPr="00BE1EBD" w:rsidRDefault="001B6E5A" w:rsidP="005C2687">
      <w:pPr>
        <w:pStyle w:val="ListParagraph"/>
        <w:numPr>
          <w:ilvl w:val="0"/>
          <w:numId w:val="3"/>
        </w:numPr>
        <w:tabs>
          <w:tab w:val="num" w:pos="567"/>
          <w:tab w:val="num" w:pos="851"/>
        </w:tabs>
        <w:spacing w:line="276" w:lineRule="auto"/>
        <w:jc w:val="both"/>
        <w:rPr>
          <w:rFonts w:eastAsia="MS Mincho"/>
          <w:lang w:eastAsia="en-GB"/>
        </w:rPr>
      </w:pPr>
      <w:r>
        <w:rPr>
          <w:rFonts w:eastAsia="MS Mincho"/>
          <w:b/>
          <w:lang w:eastAsia="en-GB"/>
        </w:rPr>
        <w:t xml:space="preserve"> </w:t>
      </w:r>
      <w:r w:rsidR="00B02831" w:rsidRPr="00BE1EBD">
        <w:rPr>
          <w:rFonts w:eastAsia="MS Mincho"/>
          <w:b/>
          <w:lang w:eastAsia="en-GB"/>
        </w:rPr>
        <w:t xml:space="preserve">Vlerësimi në vitin e parë </w:t>
      </w:r>
    </w:p>
    <w:p w:rsidR="00B02831" w:rsidRPr="00EE2DE7" w:rsidRDefault="00B02831" w:rsidP="00B02831">
      <w:pPr>
        <w:spacing w:line="276" w:lineRule="auto"/>
        <w:ind w:left="142"/>
        <w:rPr>
          <w:rFonts w:eastAsia="MS Mincho"/>
          <w:b/>
          <w:kern w:val="24"/>
          <w:u w:val="single"/>
          <w:lang w:eastAsia="en-GB"/>
        </w:rPr>
      </w:pPr>
    </w:p>
    <w:p w:rsidR="00B02831" w:rsidRPr="00EE2DE7" w:rsidRDefault="00B02831" w:rsidP="001B6E5A">
      <w:pPr>
        <w:spacing w:line="276" w:lineRule="auto"/>
        <w:ind w:right="283"/>
        <w:jc w:val="both"/>
        <w:rPr>
          <w:rFonts w:eastAsia="Tw Cen MT"/>
          <w:kern w:val="24"/>
        </w:rPr>
      </w:pPr>
      <w:r w:rsidRPr="00EE2DE7">
        <w:rPr>
          <w:rFonts w:eastAsia="Tw Cen MT"/>
          <w:kern w:val="24"/>
        </w:rPr>
        <w:t>Vlerësimi i kandidatëve për magjistratë</w:t>
      </w:r>
      <w:r w:rsidRPr="00EE2DE7">
        <w:rPr>
          <w:rFonts w:eastAsia="Tw Cen MT"/>
          <w:kern w:val="24"/>
          <w:vertAlign w:val="superscript"/>
        </w:rPr>
        <w:footnoteReference w:id="1"/>
      </w:r>
      <w:r w:rsidRPr="00EE2DE7">
        <w:rPr>
          <w:rFonts w:eastAsia="Tw Cen MT"/>
          <w:kern w:val="24"/>
        </w:rPr>
        <w:t xml:space="preserve"> gjatë vitit të parë teorik-praktik për lëndët teorike që ata zhvilluan në këtë vit u bë sipas skemës: </w:t>
      </w:r>
    </w:p>
    <w:p w:rsidR="00B02831" w:rsidRPr="00EE2DE7" w:rsidRDefault="00B02831" w:rsidP="005C2687">
      <w:pPr>
        <w:numPr>
          <w:ilvl w:val="0"/>
          <w:numId w:val="2"/>
        </w:numPr>
        <w:spacing w:line="276" w:lineRule="auto"/>
        <w:ind w:right="283"/>
        <w:jc w:val="both"/>
        <w:rPr>
          <w:rFonts w:eastAsia="Tw Cen MT"/>
          <w:kern w:val="24"/>
        </w:rPr>
      </w:pPr>
      <w:r w:rsidRPr="00EE2DE7">
        <w:rPr>
          <w:rFonts w:eastAsia="Tw Cen MT"/>
          <w:kern w:val="24"/>
        </w:rPr>
        <w:t xml:space="preserve">Vlerësimi i vazhdueshëm gjatë gjithë vitit akademik; </w:t>
      </w:r>
    </w:p>
    <w:p w:rsidR="00B02831" w:rsidRPr="00EE2DE7" w:rsidRDefault="00B02831" w:rsidP="005C2687">
      <w:pPr>
        <w:numPr>
          <w:ilvl w:val="0"/>
          <w:numId w:val="2"/>
        </w:numPr>
        <w:spacing w:line="276" w:lineRule="auto"/>
        <w:ind w:right="283"/>
        <w:jc w:val="both"/>
        <w:rPr>
          <w:rFonts w:eastAsia="Tw Cen MT"/>
          <w:kern w:val="24"/>
        </w:rPr>
      </w:pPr>
      <w:r w:rsidRPr="00EE2DE7">
        <w:rPr>
          <w:rFonts w:eastAsia="Tw Cen MT"/>
          <w:kern w:val="24"/>
        </w:rPr>
        <w:t xml:space="preserve">Provimi përfundimtar. </w:t>
      </w:r>
    </w:p>
    <w:p w:rsidR="00B02831" w:rsidRPr="00EE2DE7" w:rsidRDefault="00B02831" w:rsidP="00B02831">
      <w:pPr>
        <w:spacing w:line="276" w:lineRule="auto"/>
        <w:ind w:right="283"/>
        <w:jc w:val="both"/>
        <w:rPr>
          <w:rFonts w:eastAsia="Tw Cen MT"/>
          <w:kern w:val="24"/>
        </w:rPr>
      </w:pPr>
    </w:p>
    <w:p w:rsidR="001B6E5A" w:rsidRDefault="001B6E5A" w:rsidP="001B6E5A">
      <w:pPr>
        <w:pStyle w:val="My"/>
        <w:spacing w:line="276" w:lineRule="auto"/>
        <w:jc w:val="both"/>
        <w:rPr>
          <w:rFonts w:ascii="Times New Roman" w:hAnsi="Times New Roman" w:cs="Times New Roman"/>
          <w:b/>
          <w:lang w:val="en-US"/>
        </w:rPr>
      </w:pPr>
      <w:r>
        <w:rPr>
          <w:rFonts w:ascii="Times New Roman" w:hAnsi="Times New Roman" w:cs="Times New Roman"/>
          <w:b/>
          <w:lang w:val="en-US"/>
        </w:rPr>
        <w:t xml:space="preserve">   </w:t>
      </w:r>
    </w:p>
    <w:p w:rsidR="001B6E5A" w:rsidRDefault="001B6E5A" w:rsidP="001B6E5A">
      <w:pPr>
        <w:pStyle w:val="My"/>
        <w:spacing w:line="276" w:lineRule="auto"/>
        <w:jc w:val="both"/>
        <w:rPr>
          <w:rFonts w:ascii="Times New Roman" w:hAnsi="Times New Roman" w:cs="Times New Roman"/>
          <w:lang w:val="en-US"/>
        </w:rPr>
      </w:pPr>
      <w:r w:rsidRPr="001B6E5A">
        <w:rPr>
          <w:rFonts w:ascii="Times New Roman" w:hAnsi="Times New Roman" w:cs="Times New Roman"/>
          <w:b/>
          <w:color w:val="CC9966" w:themeColor="accent2"/>
          <w:sz w:val="28"/>
          <w:lang w:val="en-US"/>
        </w:rPr>
        <w:t>Lëndët e vitit të parë:</w:t>
      </w:r>
    </w:p>
    <w:p w:rsidR="001B6E5A" w:rsidRDefault="001B6E5A" w:rsidP="001B6E5A">
      <w:pPr>
        <w:spacing w:line="276" w:lineRule="auto"/>
        <w:ind w:right="283"/>
        <w:jc w:val="both"/>
        <w:rPr>
          <w:rFonts w:eastAsia="Tw Cen MT"/>
          <w:kern w:val="24"/>
        </w:rPr>
      </w:pPr>
    </w:p>
    <w:p w:rsidR="00B02831" w:rsidRPr="00EE2DE7" w:rsidRDefault="00B02831" w:rsidP="00036DBB">
      <w:pPr>
        <w:spacing w:line="276" w:lineRule="auto"/>
        <w:ind w:right="283"/>
        <w:jc w:val="both"/>
        <w:rPr>
          <w:rFonts w:eastAsia="Tw Cen MT"/>
          <w:kern w:val="24"/>
        </w:rPr>
      </w:pPr>
      <w:r w:rsidRPr="00EE2DE7">
        <w:rPr>
          <w:rFonts w:eastAsia="Tw Cen MT"/>
          <w:kern w:val="24"/>
        </w:rPr>
        <w:t xml:space="preserve">Totali i pikëve të vlefshme për vlerësimin e kandidatëve për çdo lëndë në fund të vitit/semestrit është </w:t>
      </w:r>
      <w:r w:rsidRPr="00EE2DE7">
        <w:rPr>
          <w:rFonts w:eastAsia="Tw Cen MT"/>
          <w:b/>
          <w:kern w:val="24"/>
        </w:rPr>
        <w:t>100 pikë</w:t>
      </w:r>
      <w:r w:rsidRPr="00EE2DE7">
        <w:rPr>
          <w:rFonts w:eastAsia="Tw Cen MT"/>
          <w:kern w:val="24"/>
        </w:rPr>
        <w:t xml:space="preserve">, nga të cilat, për vlerësimin e vazhdueshëm u lanë në dispozicion </w:t>
      </w:r>
      <w:r w:rsidRPr="00EE2DE7">
        <w:rPr>
          <w:rFonts w:eastAsia="Tw Cen MT"/>
          <w:b/>
          <w:kern w:val="24"/>
        </w:rPr>
        <w:t>30 pikë,</w:t>
      </w:r>
      <w:r w:rsidRPr="00EE2DE7">
        <w:rPr>
          <w:rFonts w:eastAsia="Tw Cen MT"/>
          <w:kern w:val="24"/>
        </w:rPr>
        <w:t xml:space="preserve"> ndërsa për vlerësimin me provimin përfundimtar </w:t>
      </w:r>
      <w:r w:rsidRPr="00EE2DE7">
        <w:rPr>
          <w:rFonts w:eastAsia="Tw Cen MT"/>
          <w:b/>
          <w:kern w:val="24"/>
        </w:rPr>
        <w:t>70 pikë</w:t>
      </w:r>
      <w:r w:rsidRPr="00EE2DE7">
        <w:rPr>
          <w:rFonts w:eastAsia="Tw Cen MT"/>
          <w:kern w:val="24"/>
        </w:rPr>
        <w:t>. Kufijtë maksimalë dhe minimalë të këtyre vlerësimeve u vendosën rast pas rasti nga çdo lëndë në varësi të natyrës dhe specifikave të saj. Këto limite u përcaktuan në çdo program lënde para fillimit të vitit akademik.</w:t>
      </w:r>
    </w:p>
    <w:p w:rsidR="001B6E5A" w:rsidRDefault="001B6E5A" w:rsidP="001B6E5A">
      <w:pPr>
        <w:tabs>
          <w:tab w:val="left" w:pos="709"/>
        </w:tabs>
        <w:spacing w:line="276" w:lineRule="auto"/>
        <w:ind w:right="283"/>
        <w:jc w:val="both"/>
        <w:rPr>
          <w:rFonts w:eastAsia="Tw Cen MT"/>
          <w:kern w:val="24"/>
        </w:rPr>
      </w:pPr>
      <w:r w:rsidRPr="00EE2DE7">
        <w:rPr>
          <w:rFonts w:eastAsia="Tw Cen MT"/>
          <w:kern w:val="24"/>
        </w:rPr>
        <w:lastRenderedPageBreak/>
        <w:t>Mënyra dhe skema e vlerësimit, si dhe pikavarazhi për secilën pjesë të vlerësimit u bë e ditur nga pedagogët përgjegjës të lëndëve për kandidatët për magjistratë në fillim të çdo kursi apo lënde, mbështetur në kriteret e vlerësimit.</w:t>
      </w:r>
    </w:p>
    <w:p w:rsidR="001B6E5A" w:rsidRPr="00EE2DE7" w:rsidRDefault="001B6E5A" w:rsidP="001B6E5A">
      <w:pPr>
        <w:tabs>
          <w:tab w:val="left" w:pos="709"/>
        </w:tabs>
        <w:spacing w:line="276" w:lineRule="auto"/>
        <w:ind w:right="283"/>
        <w:jc w:val="both"/>
        <w:rPr>
          <w:rFonts w:eastAsia="Tw Cen MT"/>
          <w:kern w:val="24"/>
        </w:rPr>
      </w:pPr>
    </w:p>
    <w:p w:rsidR="001B6E5A" w:rsidRDefault="001B6E5A" w:rsidP="005C2687">
      <w:pPr>
        <w:pStyle w:val="ListParagraph"/>
        <w:numPr>
          <w:ilvl w:val="0"/>
          <w:numId w:val="6"/>
        </w:numPr>
        <w:spacing w:line="276" w:lineRule="auto"/>
        <w:ind w:right="283"/>
        <w:jc w:val="both"/>
        <w:rPr>
          <w:rFonts w:eastAsia="Tw Cen MT"/>
          <w:b/>
        </w:rPr>
      </w:pPr>
      <w:r w:rsidRPr="00BE1EBD">
        <w:rPr>
          <w:rFonts w:eastAsia="Tw Cen MT"/>
          <w:b/>
        </w:rPr>
        <w:t xml:space="preserve">Vlerësimi i vazhdueshëm gjatë gjithë vitit akademik </w:t>
      </w:r>
    </w:p>
    <w:p w:rsidR="001B6E5A" w:rsidRPr="00BE1EBD" w:rsidRDefault="001B6E5A" w:rsidP="001B6E5A">
      <w:pPr>
        <w:ind w:left="360" w:right="283"/>
        <w:jc w:val="both"/>
        <w:rPr>
          <w:rFonts w:eastAsia="Tw Cen MT"/>
          <w:b/>
          <w:kern w:val="24"/>
        </w:rPr>
      </w:pPr>
    </w:p>
    <w:p w:rsidR="001B6E5A" w:rsidRPr="009A01C5" w:rsidRDefault="001B6E5A" w:rsidP="001B6E5A">
      <w:pPr>
        <w:spacing w:line="276" w:lineRule="auto"/>
        <w:ind w:right="283"/>
        <w:jc w:val="both"/>
        <w:rPr>
          <w:rFonts w:eastAsia="Tw Cen MT"/>
          <w:kern w:val="24"/>
        </w:rPr>
      </w:pPr>
      <w:r w:rsidRPr="00EE2DE7">
        <w:rPr>
          <w:rFonts w:eastAsia="Tw Cen MT"/>
          <w:kern w:val="24"/>
        </w:rPr>
        <w:t xml:space="preserve">Vlerësimi i vazhdueshëm i detyrave periodike u bazua në një plan vlerësimi të përcaktuar, i cili iu </w:t>
      </w:r>
      <w:r w:rsidRPr="009A01C5">
        <w:rPr>
          <w:rFonts w:eastAsia="Tw Cen MT"/>
          <w:kern w:val="24"/>
        </w:rPr>
        <w:t xml:space="preserve">paraqitet magjistratëve pas zhvillimit të provimit përfundimtar me shkrim. </w:t>
      </w:r>
    </w:p>
    <w:p w:rsidR="001B6E5A" w:rsidRPr="009A01C5" w:rsidRDefault="001B6E5A" w:rsidP="005C2687">
      <w:pPr>
        <w:numPr>
          <w:ilvl w:val="0"/>
          <w:numId w:val="4"/>
        </w:numPr>
        <w:spacing w:line="276" w:lineRule="auto"/>
        <w:ind w:left="426" w:right="283"/>
        <w:jc w:val="both"/>
        <w:rPr>
          <w:rFonts w:eastAsia="Tw Cen MT"/>
          <w:kern w:val="24"/>
        </w:rPr>
      </w:pPr>
      <w:r w:rsidRPr="009A01C5">
        <w:rPr>
          <w:rFonts w:eastAsia="Tw Cen MT"/>
          <w:kern w:val="24"/>
        </w:rPr>
        <w:t>Gjatë procesit të vlerësimit të vazhdueshëm dhe periodik u analizuan komponentët e mëposhtëm:</w:t>
      </w:r>
    </w:p>
    <w:p w:rsidR="001B6E5A" w:rsidRPr="00EE2DE7" w:rsidRDefault="001B6E5A" w:rsidP="005C2687">
      <w:pPr>
        <w:numPr>
          <w:ilvl w:val="0"/>
          <w:numId w:val="5"/>
        </w:numPr>
        <w:spacing w:line="276" w:lineRule="auto"/>
        <w:ind w:right="283"/>
        <w:jc w:val="both"/>
        <w:rPr>
          <w:rFonts w:eastAsia="Tw Cen MT"/>
          <w:kern w:val="24"/>
        </w:rPr>
      </w:pPr>
      <w:r w:rsidRPr="009A01C5">
        <w:rPr>
          <w:rFonts w:eastAsia="Tw Cen MT"/>
          <w:kern w:val="24"/>
        </w:rPr>
        <w:t>Detyrat e kursit, esetë, projektet</w:t>
      </w:r>
      <w:r w:rsidRPr="00EE2DE7">
        <w:rPr>
          <w:rFonts w:eastAsia="Tw Cen MT"/>
          <w:kern w:val="24"/>
        </w:rPr>
        <w:t xml:space="preserve"> e dhëna për t’u përgatitur me shkrim nga kandidatët në mënyrë anonime dhe jo më shumë se 3-4 në vit për lëndët vjetore, të cilat ishin planifikuar në program;</w:t>
      </w:r>
    </w:p>
    <w:p w:rsidR="001B6E5A" w:rsidRPr="00EE2DE7" w:rsidRDefault="001B6E5A" w:rsidP="005C2687">
      <w:pPr>
        <w:numPr>
          <w:ilvl w:val="0"/>
          <w:numId w:val="5"/>
        </w:numPr>
        <w:spacing w:line="276" w:lineRule="auto"/>
        <w:ind w:right="283"/>
        <w:jc w:val="both"/>
        <w:rPr>
          <w:rFonts w:eastAsia="Tw Cen MT"/>
          <w:kern w:val="24"/>
        </w:rPr>
      </w:pPr>
      <w:r w:rsidRPr="00EE2DE7">
        <w:rPr>
          <w:rFonts w:eastAsia="Tw Cen MT"/>
          <w:kern w:val="24"/>
        </w:rPr>
        <w:t>Aktivizimi, oratoria apo logjika e arsyetimi në diskutimin interaktiv;</w:t>
      </w:r>
    </w:p>
    <w:p w:rsidR="001B6E5A" w:rsidRPr="00EE2DE7" w:rsidRDefault="001B6E5A" w:rsidP="005C2687">
      <w:pPr>
        <w:numPr>
          <w:ilvl w:val="0"/>
          <w:numId w:val="5"/>
        </w:numPr>
        <w:spacing w:line="276" w:lineRule="auto"/>
        <w:ind w:right="283"/>
        <w:jc w:val="both"/>
        <w:rPr>
          <w:rFonts w:eastAsia="Tw Cen MT"/>
          <w:kern w:val="24"/>
        </w:rPr>
      </w:pPr>
      <w:r w:rsidRPr="00EE2DE7">
        <w:rPr>
          <w:rFonts w:eastAsia="Tw Cen MT"/>
          <w:kern w:val="24"/>
        </w:rPr>
        <w:t>Mënyra e diskutimit dhe zgjidhjes së rasteve të praktikës gjyqësore;</w:t>
      </w:r>
    </w:p>
    <w:p w:rsidR="001B6E5A" w:rsidRPr="00EE2DE7" w:rsidRDefault="001B6E5A" w:rsidP="005C2687">
      <w:pPr>
        <w:numPr>
          <w:ilvl w:val="0"/>
          <w:numId w:val="5"/>
        </w:numPr>
        <w:spacing w:line="276" w:lineRule="auto"/>
        <w:ind w:right="283"/>
        <w:jc w:val="both"/>
        <w:rPr>
          <w:rFonts w:eastAsia="Tw Cen MT"/>
          <w:kern w:val="24"/>
        </w:rPr>
      </w:pPr>
      <w:r w:rsidRPr="00EE2DE7">
        <w:rPr>
          <w:rFonts w:eastAsia="Tw Cen MT"/>
          <w:kern w:val="24"/>
        </w:rPr>
        <w:t>Mënyra e organizimit dhe realizimit të gjyqeve imituese, e të tjera të ngjashme me to;</w:t>
      </w:r>
    </w:p>
    <w:p w:rsidR="001B6E5A" w:rsidRPr="00EE2DE7" w:rsidRDefault="001B6E5A" w:rsidP="005C2687">
      <w:pPr>
        <w:numPr>
          <w:ilvl w:val="0"/>
          <w:numId w:val="4"/>
        </w:numPr>
        <w:spacing w:line="276" w:lineRule="auto"/>
        <w:ind w:left="426" w:right="283"/>
        <w:jc w:val="both"/>
        <w:rPr>
          <w:rFonts w:eastAsia="Tw Cen MT"/>
          <w:kern w:val="24"/>
        </w:rPr>
      </w:pPr>
      <w:r w:rsidRPr="00EE2DE7">
        <w:rPr>
          <w:rFonts w:eastAsia="Tw Cen MT"/>
          <w:kern w:val="24"/>
        </w:rPr>
        <w:t xml:space="preserve">Testet periodike me shkrim ishin: </w:t>
      </w:r>
    </w:p>
    <w:p w:rsidR="001B6E5A" w:rsidRPr="00EE2DE7" w:rsidRDefault="001B6E5A" w:rsidP="001B6E5A">
      <w:pPr>
        <w:spacing w:line="276" w:lineRule="auto"/>
        <w:ind w:left="426" w:right="283"/>
        <w:jc w:val="both"/>
        <w:rPr>
          <w:rFonts w:eastAsia="Tw Cen MT"/>
          <w:kern w:val="24"/>
        </w:rPr>
      </w:pPr>
      <w:r w:rsidRPr="00EE2DE7">
        <w:rPr>
          <w:rFonts w:eastAsia="Tw Cen MT"/>
          <w:kern w:val="24"/>
        </w:rPr>
        <w:t xml:space="preserve">a) testet për njohuritë aktuale; </w:t>
      </w:r>
    </w:p>
    <w:p w:rsidR="001B6E5A" w:rsidRPr="00EE2DE7" w:rsidRDefault="001B6E5A" w:rsidP="001B6E5A">
      <w:pPr>
        <w:spacing w:line="276" w:lineRule="auto"/>
        <w:ind w:left="426" w:right="283"/>
        <w:jc w:val="both"/>
        <w:rPr>
          <w:rFonts w:eastAsia="Tw Cen MT"/>
          <w:kern w:val="24"/>
        </w:rPr>
      </w:pPr>
      <w:r w:rsidRPr="00EE2DE7">
        <w:rPr>
          <w:rFonts w:eastAsia="Tw Cen MT"/>
          <w:kern w:val="24"/>
        </w:rPr>
        <w:t xml:space="preserve">b) testet e semestrit, me karakter përmbledhës; </w:t>
      </w:r>
    </w:p>
    <w:p w:rsidR="001B6E5A" w:rsidRPr="00EE2DE7" w:rsidRDefault="001B6E5A" w:rsidP="001B6E5A">
      <w:pPr>
        <w:spacing w:line="276" w:lineRule="auto"/>
        <w:ind w:left="426" w:right="283"/>
        <w:jc w:val="both"/>
        <w:rPr>
          <w:rFonts w:eastAsia="Tw Cen MT"/>
          <w:kern w:val="24"/>
        </w:rPr>
      </w:pPr>
      <w:r w:rsidRPr="00EE2DE7">
        <w:rPr>
          <w:rFonts w:eastAsia="Tw Cen MT"/>
          <w:kern w:val="24"/>
        </w:rPr>
        <w:t xml:space="preserve">c) testet për çështjet sintetike që finalizonin tematikën për debate; </w:t>
      </w:r>
    </w:p>
    <w:p w:rsidR="001B6E5A" w:rsidRPr="00EE2DE7" w:rsidRDefault="001B6E5A" w:rsidP="001B6E5A">
      <w:pPr>
        <w:spacing w:line="276" w:lineRule="auto"/>
        <w:ind w:left="426" w:right="283"/>
        <w:jc w:val="both"/>
        <w:rPr>
          <w:rFonts w:eastAsia="Tw Cen MT"/>
          <w:kern w:val="24"/>
        </w:rPr>
      </w:pPr>
      <w:r w:rsidRPr="00EE2DE7">
        <w:rPr>
          <w:rFonts w:eastAsia="Tw Cen MT"/>
          <w:kern w:val="24"/>
        </w:rPr>
        <w:t xml:space="preserve">ç) punët me shkrim. </w:t>
      </w:r>
    </w:p>
    <w:p w:rsidR="001B6E5A" w:rsidRPr="00EE2DE7" w:rsidRDefault="001B6E5A" w:rsidP="001B6E5A">
      <w:pPr>
        <w:spacing w:line="276" w:lineRule="auto"/>
        <w:ind w:right="283"/>
        <w:jc w:val="both"/>
        <w:rPr>
          <w:rFonts w:eastAsia="Tw Cen MT"/>
          <w:kern w:val="24"/>
        </w:rPr>
      </w:pPr>
      <w:r w:rsidRPr="00EE2DE7">
        <w:rPr>
          <w:rFonts w:eastAsia="Tw Cen MT"/>
          <w:kern w:val="24"/>
        </w:rPr>
        <w:t>Testet me shkrim kishin karakter praktik.</w:t>
      </w:r>
    </w:p>
    <w:p w:rsidR="001B6E5A" w:rsidRPr="00EE2DE7" w:rsidRDefault="001B6E5A" w:rsidP="00036DBB">
      <w:pPr>
        <w:spacing w:line="276" w:lineRule="auto"/>
        <w:ind w:right="26"/>
        <w:jc w:val="both"/>
        <w:rPr>
          <w:rFonts w:eastAsia="Tw Cen MT"/>
          <w:kern w:val="24"/>
        </w:rPr>
      </w:pPr>
      <w:r w:rsidRPr="00EE2DE7">
        <w:rPr>
          <w:rFonts w:eastAsia="Tw Cen MT"/>
          <w:kern w:val="24"/>
        </w:rPr>
        <w:t xml:space="preserve">Të dhënat e nxjerra nga analiza e mësipërme u hodhën në një procesverbal vlerësimi që përmbante emrat, pikët, kriteret, kohën e caktuar, afatin e detyrës, kriteret e vlerësimit. </w:t>
      </w:r>
    </w:p>
    <w:p w:rsidR="001B6E5A" w:rsidRDefault="001B6E5A" w:rsidP="001B6E5A">
      <w:pPr>
        <w:spacing w:line="276" w:lineRule="auto"/>
        <w:ind w:right="26"/>
        <w:jc w:val="both"/>
        <w:rPr>
          <w:rFonts w:eastAsia="Tw Cen MT"/>
          <w:kern w:val="24"/>
        </w:rPr>
      </w:pPr>
      <w:r w:rsidRPr="00EE2DE7">
        <w:rPr>
          <w:rFonts w:eastAsia="Tw Cen MT"/>
          <w:kern w:val="24"/>
        </w:rPr>
        <w:t>Rezultatet e arritura nga kandidatët në Procesverbalin e Vlerësimit të Vazhdueshëm iu bënë publike kandidatëve, së bashku me provimin përfundimtar të lëndës.</w:t>
      </w:r>
    </w:p>
    <w:p w:rsidR="001B6E5A" w:rsidRPr="00EE2DE7" w:rsidRDefault="001B6E5A" w:rsidP="001B6E5A">
      <w:pPr>
        <w:spacing w:line="276" w:lineRule="auto"/>
        <w:ind w:right="26"/>
        <w:jc w:val="both"/>
        <w:rPr>
          <w:rFonts w:eastAsia="Tw Cen MT"/>
          <w:kern w:val="24"/>
        </w:rPr>
      </w:pPr>
    </w:p>
    <w:p w:rsidR="001B6E5A" w:rsidRPr="001B6E5A" w:rsidRDefault="001B6E5A" w:rsidP="005C2687">
      <w:pPr>
        <w:pStyle w:val="ListParagraph"/>
        <w:numPr>
          <w:ilvl w:val="0"/>
          <w:numId w:val="6"/>
        </w:numPr>
        <w:spacing w:line="276" w:lineRule="auto"/>
        <w:ind w:right="26"/>
        <w:jc w:val="both"/>
        <w:rPr>
          <w:rFonts w:eastAsia="Tw Cen MT"/>
        </w:rPr>
      </w:pPr>
      <w:r w:rsidRPr="000D0363">
        <w:rPr>
          <w:rFonts w:eastAsia="Tw Cen MT"/>
          <w:b/>
        </w:rPr>
        <w:t>Vlerësimi me provimin përfundimtar</w:t>
      </w:r>
    </w:p>
    <w:p w:rsidR="001B6E5A" w:rsidRPr="001B6E5A" w:rsidRDefault="001B6E5A" w:rsidP="001B6E5A">
      <w:pPr>
        <w:spacing w:line="276" w:lineRule="auto"/>
        <w:ind w:right="26"/>
        <w:jc w:val="both"/>
        <w:rPr>
          <w:rFonts w:eastAsia="Tw Cen MT"/>
        </w:rPr>
      </w:pPr>
    </w:p>
    <w:p w:rsidR="001B6E5A" w:rsidRPr="001B6E5A" w:rsidRDefault="001B6E5A" w:rsidP="001B6E5A">
      <w:pPr>
        <w:spacing w:line="276" w:lineRule="auto"/>
        <w:ind w:right="26"/>
        <w:jc w:val="both"/>
        <w:rPr>
          <w:rFonts w:eastAsia="Tw Cen MT"/>
        </w:rPr>
      </w:pPr>
      <w:r w:rsidRPr="001B6E5A">
        <w:rPr>
          <w:rFonts w:eastAsia="Tw Cen MT"/>
        </w:rPr>
        <w:t xml:space="preserve">Vlerësimi me provimin përfundimtar u bë në fund të vitit akademik apo të semestrit, kur përfundoi edhe trajtimi i lëndës përkatëse. </w:t>
      </w:r>
    </w:p>
    <w:p w:rsidR="001B6E5A" w:rsidRDefault="001B6E5A" w:rsidP="001B6E5A">
      <w:pPr>
        <w:spacing w:line="276" w:lineRule="auto"/>
        <w:ind w:right="26"/>
        <w:jc w:val="both"/>
        <w:rPr>
          <w:rFonts w:eastAsia="Tw Cen MT"/>
          <w:kern w:val="24"/>
        </w:rPr>
      </w:pPr>
      <w:r w:rsidRPr="00EE2DE7">
        <w:rPr>
          <w:rFonts w:eastAsia="Tw Cen MT"/>
          <w:kern w:val="24"/>
        </w:rPr>
        <w:t xml:space="preserve">Provimi përfundimtar i lëndës u bë me shkrim, duke iu nënshtruar procesit të sekretimit, me qëllim ruajtjen e objektivitetit. </w:t>
      </w:r>
    </w:p>
    <w:p w:rsidR="001B6E5A" w:rsidRPr="001E0C44" w:rsidRDefault="001B6E5A" w:rsidP="001B6E5A">
      <w:pPr>
        <w:spacing w:line="276" w:lineRule="auto"/>
        <w:jc w:val="both"/>
        <w:rPr>
          <w:rFonts w:eastAsia="MS Mincho"/>
          <w:kern w:val="24"/>
          <w:lang w:eastAsia="en-GB"/>
        </w:rPr>
      </w:pPr>
      <w:r w:rsidRPr="00EE2DE7">
        <w:rPr>
          <w:rFonts w:eastAsia="MS Mincho"/>
          <w:kern w:val="24"/>
          <w:lang w:eastAsia="en-GB"/>
        </w:rPr>
        <w:t xml:space="preserve">Vlerësimi me shkallë i kandidatëve për magjistratë. </w:t>
      </w:r>
    </w:p>
    <w:p w:rsidR="001B6E5A" w:rsidRPr="00EE2DE7" w:rsidRDefault="001B6E5A" w:rsidP="001B6E5A">
      <w:pPr>
        <w:spacing w:line="276" w:lineRule="auto"/>
        <w:jc w:val="both"/>
        <w:rPr>
          <w:rFonts w:eastAsia="Tw Cen MT"/>
          <w:kern w:val="24"/>
        </w:rPr>
      </w:pPr>
      <w:r w:rsidRPr="00EE2DE7">
        <w:rPr>
          <w:rFonts w:eastAsia="Tw Cen MT"/>
          <w:kern w:val="24"/>
        </w:rPr>
        <w:t>Niveli “Shkëlqyeshëm” është 100 (njëqind) pikë;</w:t>
      </w:r>
    </w:p>
    <w:p w:rsidR="001B6E5A" w:rsidRPr="00EE2DE7" w:rsidRDefault="001B6E5A" w:rsidP="001B6E5A">
      <w:pPr>
        <w:spacing w:line="276" w:lineRule="auto"/>
        <w:jc w:val="both"/>
        <w:rPr>
          <w:rFonts w:eastAsia="Tw Cen MT"/>
          <w:kern w:val="24"/>
        </w:rPr>
      </w:pPr>
      <w:r w:rsidRPr="00EE2DE7">
        <w:rPr>
          <w:rFonts w:eastAsia="Tw Cen MT"/>
          <w:kern w:val="24"/>
        </w:rPr>
        <w:t xml:space="preserve">Niveli “Shumë mirë”    është </w:t>
      </w:r>
      <w:r w:rsidRPr="00EE2DE7">
        <w:rPr>
          <w:rFonts w:eastAsia="Tw Cen MT"/>
          <w:kern w:val="24"/>
        </w:rPr>
        <w:tab/>
        <w:t>90-99 (nëntëdhjetë deri nëntëdhjetë e nëntë) pikë;</w:t>
      </w:r>
    </w:p>
    <w:p w:rsidR="001B6E5A" w:rsidRPr="00EE2DE7" w:rsidRDefault="001B6E5A" w:rsidP="001B6E5A">
      <w:pPr>
        <w:spacing w:line="276" w:lineRule="auto"/>
        <w:jc w:val="both"/>
        <w:rPr>
          <w:rFonts w:eastAsia="Tw Cen MT"/>
          <w:kern w:val="24"/>
        </w:rPr>
      </w:pPr>
      <w:r w:rsidRPr="00EE2DE7">
        <w:rPr>
          <w:rFonts w:eastAsia="Tw Cen MT"/>
          <w:kern w:val="24"/>
        </w:rPr>
        <w:t>Niveli “Mirë”                është 70-89 (shtatëdhjetë deri tetëdhjetë e nëntë) pikë;</w:t>
      </w:r>
    </w:p>
    <w:p w:rsidR="001B6E5A" w:rsidRPr="000D0363" w:rsidRDefault="001B6E5A" w:rsidP="001B6E5A">
      <w:pPr>
        <w:spacing w:line="276" w:lineRule="auto"/>
        <w:jc w:val="both"/>
        <w:rPr>
          <w:rFonts w:eastAsia="Tw Cen MT"/>
          <w:kern w:val="24"/>
        </w:rPr>
      </w:pPr>
      <w:r w:rsidRPr="00EE2DE7">
        <w:rPr>
          <w:rFonts w:eastAsia="Tw Cen MT"/>
          <w:kern w:val="24"/>
        </w:rPr>
        <w:t>Niveli “Mjaftueshëm”   është 50-69 (pesëdhjetë deri gjashtëdhjetë e nëntë) pikë.</w:t>
      </w:r>
    </w:p>
    <w:p w:rsidR="001B6E5A" w:rsidRDefault="001B6E5A" w:rsidP="001B6E5A">
      <w:pPr>
        <w:spacing w:after="200" w:line="276" w:lineRule="auto"/>
        <w:jc w:val="both"/>
        <w:rPr>
          <w:rFonts w:eastAsia="Calibri"/>
          <w:b/>
          <w:kern w:val="24"/>
        </w:rPr>
      </w:pPr>
    </w:p>
    <w:p w:rsidR="001B6E5A" w:rsidRDefault="001B6E5A" w:rsidP="001B6E5A">
      <w:pPr>
        <w:spacing w:after="200" w:line="276" w:lineRule="auto"/>
        <w:jc w:val="both"/>
        <w:rPr>
          <w:rFonts w:eastAsia="Calibri"/>
          <w:b/>
          <w:kern w:val="24"/>
        </w:rPr>
      </w:pPr>
      <w:r w:rsidRPr="00EE2DE7">
        <w:rPr>
          <w:rFonts w:eastAsia="Calibri"/>
          <w:b/>
          <w:kern w:val="24"/>
        </w:rPr>
        <w:t xml:space="preserve">Skema e vlerësimit në fund të vitit të parë është:  </w:t>
      </w:r>
      <w:r w:rsidRPr="00EE2DE7">
        <w:rPr>
          <w:rFonts w:eastAsia="Calibri"/>
          <w:b/>
          <w:kern w:val="24"/>
        </w:rPr>
        <w:tab/>
      </w:r>
    </w:p>
    <w:p w:rsidR="001B6E5A" w:rsidRPr="00EE2DE7" w:rsidRDefault="00CF3AE0" w:rsidP="001B6E5A">
      <w:pPr>
        <w:spacing w:after="200" w:line="276" w:lineRule="auto"/>
        <w:jc w:val="both"/>
        <w:rPr>
          <w:rFonts w:eastAsia="Calibri"/>
          <w:b/>
          <w:kern w:val="24"/>
        </w:rPr>
      </w:pPr>
      <w:r>
        <w:rPr>
          <w:rFonts w:ascii="Calibri" w:eastAsia="Calibri" w:hAnsi="Calibri"/>
        </w:rPr>
        <w:pict>
          <v:shapetype id="_x0000_t32" coordsize="21600,21600" o:spt="32" o:oned="t" path="m,l21600,21600e" filled="f">
            <v:path arrowok="t" fillok="f" o:connecttype="none"/>
            <o:lock v:ext="edit" shapetype="t"/>
          </v:shapetype>
          <v:shape id="Straight Arrow Connector 11" o:spid="_x0000_s1056" type="#_x0000_t32" style="position:absolute;left:0;text-align:left;margin-left:68pt;margin-top:21pt;width:14pt;height:0;z-index:25171916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"/>
        </w:pict>
      </w:r>
      <w:r>
        <w:rPr>
          <w:rFonts w:ascii="Calibri" w:eastAsia="Calibri" w:hAnsi="Calibri"/>
        </w:rPr>
        <w:pict>
          <v:shape id="Straight Arrow Connector 10" o:spid="_x0000_s1055" type="#_x0000_t32" style="position:absolute;left:0;text-align:left;margin-left:33pt;margin-top:21pt;width:21pt;height:0;z-index:2517181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"/>
        </w:pict>
      </w:r>
    </w:p>
    <w:p w:rsidR="001B6E5A" w:rsidRDefault="00CF3AE0" w:rsidP="001B6E5A">
      <w:pPr>
        <w:spacing w:after="200" w:line="276" w:lineRule="auto"/>
        <w:ind w:left="720"/>
        <w:contextualSpacing/>
        <w:jc w:val="both"/>
        <w:rPr>
          <w:rFonts w:eastAsia="Calibri"/>
          <w:kern w:val="24"/>
          <w:lang w:eastAsia="ja-JP"/>
        </w:rPr>
      </w:pPr>
      <m:oMathPara>
        <m:oMathParaPr>
          <m:jc m:val="left"/>
        </m:oMathParaPr>
        <m:oMath>
          <m:nary>
            <m:naryPr>
              <m:chr m:val="∑"/>
              <m:limLoc m:val="subSup"/>
              <m:supHide m:val="1"/>
              <m:ctrlPr>
                <w:rPr>
                  <w:rFonts w:ascii="Cambria Math" w:eastAsia="Tw Cen MT" w:hAnsi="Cambria Math"/>
                  <w:kern w:val="24"/>
                  <w:lang w:eastAsia="ja-JP"/>
                </w:rPr>
              </m:ctrlPr>
            </m:naryPr>
            <m:sub>
              <m:r>
                <w:rPr>
                  <w:rFonts w:ascii="Cambria Math" w:eastAsia="Tw Cen MT" w:hAnsi="Cambria Math"/>
                  <w:kern w:val="24"/>
                  <w:lang w:eastAsia="ja-JP"/>
                </w:rPr>
                <m:t>p</m:t>
              </m:r>
            </m:sub>
            <m:sup/>
            <m:e>
              <m:r>
                <m:rPr>
                  <m:sty m:val="p"/>
                </m:rPr>
                <w:rPr>
                  <w:rFonts w:ascii="Cambria Math" w:eastAsia="Tw Cen MT" w:hAnsi="Cambria Math"/>
                  <w:kern w:val="24"/>
                  <w:lang w:eastAsia="ja-JP"/>
                </w:rPr>
                <m:t>=</m:t>
              </m:r>
            </m:e>
          </m:nary>
          <m:nary>
            <m:naryPr>
              <m:chr m:val="∑"/>
              <m:limLoc m:val="undOvr"/>
              <m:supHide m:val="1"/>
              <m:ctrlPr>
                <w:rPr>
                  <w:rFonts w:ascii="Cambria Math" w:eastAsia="Tw Cen MT" w:hAnsi="Cambria Math"/>
                  <w:kern w:val="24"/>
                  <w:lang w:eastAsia="ja-JP"/>
                </w:rPr>
              </m:ctrlPr>
            </m:naryPr>
            <m:sub>
              <m:r>
                <w:rPr>
                  <w:rFonts w:ascii="Cambria Math" w:eastAsia="Tw Cen MT" w:hAnsi="Cambria Math"/>
                  <w:kern w:val="24"/>
                  <w:lang w:eastAsia="ja-JP"/>
                </w:rPr>
                <m:t>VitiI</m:t>
              </m:r>
            </m:sub>
            <m:sup/>
            <m:e>
              <m:r>
                <m:rPr>
                  <m:sty m:val="p"/>
                </m:rPr>
                <w:rPr>
                  <w:rFonts w:ascii="Cambria Math" w:eastAsia="Tw Cen MT" w:hAnsi="Cambria Math"/>
                  <w:kern w:val="24"/>
                  <w:lang w:eastAsia="ja-JP"/>
                </w:rPr>
                <m:t>{</m:t>
              </m:r>
              <m:d>
                <m:dPr>
                  <m:ctrlPr>
                    <w:rPr>
                      <w:rFonts w:ascii="Cambria Math" w:eastAsia="Tw Cen MT" w:hAnsi="Cambria Math"/>
                      <w:kern w:val="24"/>
                    </w:rPr>
                  </m:ctrlPr>
                </m:dPr>
                <m:e>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1</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1</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1/2</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 xml:space="preserve">2 </m:t>
                      </m:r>
                    </m:sub>
                  </m:sSub>
                </m:e>
              </m:d>
              <m:r>
                <m:rPr>
                  <m:sty m:val="p"/>
                </m:rPr>
                <w:rPr>
                  <w:rFonts w:ascii="Cambria Math" w:eastAsia="Tw Cen MT" w:hAnsi="Cambria Math"/>
                  <w:kern w:val="24"/>
                </w:rPr>
                <m:t>}</m:t>
              </m:r>
            </m:e>
          </m:nary>
        </m:oMath>
      </m:oMathPara>
    </w:p>
    <w:p w:rsidR="001B6E5A" w:rsidRPr="00EE2DE7" w:rsidRDefault="001B6E5A" w:rsidP="001B6E5A">
      <w:pPr>
        <w:spacing w:after="200" w:line="276" w:lineRule="auto"/>
        <w:ind w:left="720"/>
        <w:contextualSpacing/>
        <w:jc w:val="both"/>
        <w:rPr>
          <w:rFonts w:eastAsia="Calibri"/>
          <w:kern w:val="24"/>
          <w:lang w:eastAsia="ja-JP"/>
        </w:rPr>
      </w:pPr>
    </w:p>
    <w:p w:rsidR="001B6E5A" w:rsidRPr="00EE2DE7" w:rsidRDefault="00CF3AE0" w:rsidP="001B6E5A">
      <w:pPr>
        <w:spacing w:line="276" w:lineRule="auto"/>
        <w:jc w:val="both"/>
        <w:rPr>
          <w:rFonts w:eastAsia="Calibri"/>
          <w:kern w:val="24"/>
          <w:lang w:eastAsia="ja-JP"/>
        </w:rPr>
      </w:pPr>
      <m:oMath>
        <m:nary>
          <m:naryPr>
            <m:chr m:val="∑"/>
            <m:limLoc m:val="subSup"/>
            <m:supHide m:val="1"/>
            <m:ctrlPr>
              <w:rPr>
                <w:rFonts w:ascii="Cambria Math" w:eastAsia="Tw Cen MT" w:hAnsi="Cambria Math"/>
                <w:kern w:val="24"/>
                <w:lang w:eastAsia="ja-JP"/>
              </w:rPr>
            </m:ctrlPr>
          </m:naryPr>
          <m:sub>
            <m:r>
              <w:rPr>
                <w:rFonts w:ascii="Cambria Math" w:eastAsia="Tw Cen MT" w:hAnsi="Cambria Math"/>
                <w:kern w:val="24"/>
                <w:lang w:eastAsia="ja-JP"/>
              </w:rPr>
              <m:t>p</m:t>
            </m:r>
          </m:sub>
          <m:sup/>
          <m:e>
            <m:r>
              <m:rPr>
                <m:sty m:val="p"/>
              </m:rPr>
              <w:rPr>
                <w:rFonts w:ascii="Cambria Math" w:eastAsia="Tw Cen MT" w:hAnsi="Cambria Math"/>
                <w:kern w:val="24"/>
                <w:lang w:eastAsia="ja-JP"/>
              </w:rPr>
              <m:t>=</m:t>
            </m:r>
          </m:e>
        </m:nary>
        <m:r>
          <w:rPr>
            <w:rFonts w:ascii="Cambria Math" w:eastAsia="Tw Cen MT" w:hAnsi="Cambria Math"/>
            <w:kern w:val="24"/>
            <w:lang w:eastAsia="ja-JP"/>
          </w:rPr>
          <m:t xml:space="preserve">  </m:t>
        </m:r>
      </m:oMath>
      <w:r w:rsidR="001B6E5A" w:rsidRPr="00EE2DE7">
        <w:rPr>
          <w:rFonts w:eastAsia="Calibri"/>
          <w:kern w:val="24"/>
          <w:lang w:eastAsia="ja-JP"/>
        </w:rPr>
        <w:t xml:space="preserve"> Shuma e ponderuar</w:t>
      </w:r>
    </w:p>
    <w:p w:rsidR="001B6E5A" w:rsidRPr="00EE2DE7" w:rsidRDefault="001B6E5A" w:rsidP="001B6E5A">
      <w:pPr>
        <w:spacing w:line="276" w:lineRule="auto"/>
        <w:jc w:val="both"/>
        <w:rPr>
          <w:rFonts w:eastAsia="Calibri"/>
          <w:kern w:val="24"/>
          <w:lang w:eastAsia="ja-JP"/>
        </w:rPr>
      </w:pPr>
      <w:r w:rsidRPr="00EE2DE7">
        <w:rPr>
          <w:rFonts w:eastAsia="Calibri"/>
          <w:kern w:val="24"/>
          <w:lang w:eastAsia="ja-JP"/>
        </w:rPr>
        <w:t xml:space="preserve"> </w:t>
      </w:r>
      <m:oMath>
        <m:sSub>
          <m:sSubPr>
            <m:ctrlPr>
              <w:rPr>
                <w:rFonts w:ascii="Cambria Math" w:eastAsia="Tw Cen MT" w:hAnsi="Cambria Math"/>
                <w:kern w:val="24"/>
                <w:lang w:eastAsia="ja-JP"/>
              </w:rPr>
            </m:ctrlPr>
          </m:sSubPr>
          <m:e>
            <m:r>
              <w:rPr>
                <w:rFonts w:ascii="Cambria Math" w:eastAsia="Tw Cen MT" w:hAnsi="Cambria Math"/>
                <w:kern w:val="24"/>
                <w:lang w:eastAsia="ja-JP"/>
              </w:rPr>
              <m:t xml:space="preserve"> x</m:t>
            </m:r>
          </m:e>
          <m:sub>
            <m:r>
              <m:rPr>
                <m:sty m:val="p"/>
              </m:rPr>
              <w:rPr>
                <w:rFonts w:ascii="Cambria Math" w:eastAsia="Tw Cen MT" w:hAnsi="Cambria Math"/>
                <w:kern w:val="24"/>
                <w:lang w:eastAsia="ja-JP"/>
              </w:rPr>
              <m:t xml:space="preserve">1   </m:t>
            </m:r>
          </m:sub>
        </m:sSub>
      </m:oMath>
      <w:r w:rsidRPr="00EE2DE7">
        <w:rPr>
          <w:rFonts w:eastAsia="Calibri"/>
          <w:kern w:val="24"/>
          <w:lang w:eastAsia="ja-JP"/>
        </w:rPr>
        <w:t>=   Shuma e pikëve t</w:t>
      </w:r>
      <w:r w:rsidRPr="00EE2DE7">
        <w:rPr>
          <w:rFonts w:eastAsia="Tw Cen MT"/>
          <w:kern w:val="24"/>
        </w:rPr>
        <w:t>ë</w:t>
      </w:r>
      <w:r w:rsidRPr="00EE2DE7">
        <w:rPr>
          <w:rFonts w:eastAsia="Calibri"/>
          <w:kern w:val="24"/>
          <w:lang w:eastAsia="ja-JP"/>
        </w:rPr>
        <w:t xml:space="preserve"> provimit të lëndëve të Grupit I</w:t>
      </w:r>
    </w:p>
    <w:p w:rsidR="001B6E5A" w:rsidRPr="00EE2DE7" w:rsidRDefault="00CF3AE0" w:rsidP="001B6E5A">
      <w:pPr>
        <w:spacing w:line="276" w:lineRule="auto"/>
        <w:jc w:val="both"/>
        <w:rPr>
          <w:rFonts w:eastAsia="Calibri"/>
          <w:kern w:val="24"/>
          <w:lang w:eastAsia="ja-JP"/>
        </w:rPr>
      </w:pPr>
      <m:oMath>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1/2</m:t>
            </m:r>
          </m:sub>
        </m:sSub>
      </m:oMath>
      <w:r w:rsidR="001B6E5A" w:rsidRPr="00EE2DE7">
        <w:rPr>
          <w:rFonts w:eastAsia="Calibri"/>
          <w:kern w:val="24"/>
          <w:lang w:eastAsia="ja-JP"/>
        </w:rPr>
        <w:t xml:space="preserve">=  Shuma e pikëve të provimeve të Grupit II në vitin e parë </w:t>
      </w:r>
    </w:p>
    <w:p w:rsidR="001B6E5A" w:rsidRPr="00EE2DE7" w:rsidRDefault="00CF3AE0" w:rsidP="001B6E5A">
      <w:pPr>
        <w:spacing w:line="276" w:lineRule="auto"/>
        <w:jc w:val="both"/>
        <w:rPr>
          <w:rFonts w:eastAsia="Calibri"/>
          <w:kern w:val="24"/>
          <w:lang w:eastAsia="ja-JP"/>
        </w:rPr>
      </w:pPr>
      <m:oMath>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1</m:t>
            </m:r>
          </m:sub>
        </m:sSub>
      </m:oMath>
      <w:r w:rsidR="00C057AA" w:rsidRPr="00EE2DE7">
        <w:rPr>
          <w:rFonts w:eastAsia="Calibri"/>
          <w:kern w:val="24"/>
        </w:rPr>
        <w:fldChar w:fldCharType="begin"/>
      </w:r>
      <w:r w:rsidR="001B6E5A" w:rsidRPr="00EE2DE7">
        <w:rPr>
          <w:rFonts w:eastAsia="Calibri"/>
          <w:kern w:val="24"/>
        </w:rPr>
        <w:instrText xml:space="preserve"> QUOTE </w:instrText>
      </w:r>
      <m:oMath>
        <m:sSub>
          <m:sSubPr>
            <m:ctrlPr>
              <w:rPr>
                <w:rFonts w:ascii="Cambria Math" w:eastAsia="Tw Cen MT" w:hAnsi="Cambria Math"/>
                <w:kern w:val="24"/>
              </w:rPr>
            </m:ctrlPr>
          </m:sSubPr>
          <m:e>
            <m:r>
              <m:rPr>
                <m:sty m:val="p"/>
              </m:rPr>
              <w:rPr>
                <w:rFonts w:ascii="Cambria Math" w:eastAsia="Tw Cen MT" w:hAnsi="Cambria Math"/>
                <w:kern w:val="24"/>
              </w:rPr>
              <m:t>f</m:t>
            </m:r>
          </m:e>
          <m:sub>
            <m:r>
              <m:rPr>
                <m:sty m:val="p"/>
              </m:rPr>
              <w:rPr>
                <w:rFonts w:ascii="Cambria Math" w:eastAsia="Tw Cen MT" w:hAnsi="Cambria Math"/>
                <w:kern w:val="24"/>
              </w:rPr>
              <m:t>1</m:t>
            </m:r>
          </m:sub>
        </m:sSub>
      </m:oMath>
      <w:r w:rsidR="00C057AA" w:rsidRPr="00EE2DE7">
        <w:rPr>
          <w:rFonts w:eastAsia="Calibri"/>
          <w:kern w:val="24"/>
        </w:rPr>
        <w:fldChar w:fldCharType="end"/>
      </w:r>
      <w:r w:rsidR="001B6E5A" w:rsidRPr="00EE2DE7">
        <w:rPr>
          <w:rFonts w:eastAsia="Calibri"/>
          <w:kern w:val="24"/>
        </w:rPr>
        <w:t>=</w:t>
      </w:r>
      <w:r w:rsidR="001B6E5A" w:rsidRPr="00EE2DE7">
        <w:rPr>
          <w:rFonts w:eastAsia="Calibri"/>
          <w:kern w:val="24"/>
          <w:lang w:eastAsia="ja-JP"/>
        </w:rPr>
        <w:t xml:space="preserve"> 1.5 (një pik</w:t>
      </w:r>
      <w:r w:rsidR="001B6E5A" w:rsidRPr="00EE2DE7">
        <w:rPr>
          <w:rFonts w:eastAsia="Tw Cen MT"/>
          <w:kern w:val="24"/>
        </w:rPr>
        <w:t>ë</w:t>
      </w:r>
      <w:r w:rsidR="001B6E5A" w:rsidRPr="00EE2DE7">
        <w:rPr>
          <w:rFonts w:eastAsia="Calibri"/>
          <w:kern w:val="24"/>
          <w:lang w:eastAsia="ja-JP"/>
        </w:rPr>
        <w:t xml:space="preserve"> pesë) </w:t>
      </w:r>
      <w:r w:rsidR="001B6E5A" w:rsidRPr="00EE2DE7">
        <w:rPr>
          <w:rFonts w:eastAsia="Calibri"/>
          <w:kern w:val="24"/>
        </w:rPr>
        <w:t>Koefi</w:t>
      </w:r>
      <w:r w:rsidR="001B6E5A" w:rsidRPr="00EE2DE7">
        <w:rPr>
          <w:rFonts w:eastAsia="Calibri"/>
          <w:kern w:val="24"/>
          <w:lang w:eastAsia="ja-JP"/>
        </w:rPr>
        <w:t>cienti i vështirësisë së Grupit I</w:t>
      </w:r>
    </w:p>
    <w:p w:rsidR="001B6E5A" w:rsidRPr="00EE2DE7" w:rsidRDefault="00CF3AE0" w:rsidP="001B6E5A">
      <w:pPr>
        <w:spacing w:line="276" w:lineRule="auto"/>
        <w:jc w:val="both"/>
        <w:rPr>
          <w:rFonts w:eastAsia="Calibri"/>
          <w:kern w:val="24"/>
          <w:lang w:eastAsia="ja-JP"/>
        </w:rPr>
      </w:pPr>
      <m:oMath>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2</m:t>
            </m:r>
          </m:sub>
        </m:sSub>
      </m:oMath>
      <w:r w:rsidR="001B6E5A" w:rsidRPr="00EE2DE7">
        <w:rPr>
          <w:rFonts w:eastAsia="Calibri"/>
          <w:kern w:val="24"/>
        </w:rPr>
        <w:t>=</w:t>
      </w:r>
      <w:r w:rsidR="001B6E5A" w:rsidRPr="00EE2DE7">
        <w:rPr>
          <w:rFonts w:eastAsia="Calibri"/>
          <w:kern w:val="24"/>
          <w:lang w:eastAsia="ja-JP"/>
        </w:rPr>
        <w:t xml:space="preserve"> 1 (një) </w:t>
      </w:r>
      <w:r w:rsidR="001B6E5A" w:rsidRPr="00EE2DE7">
        <w:rPr>
          <w:rFonts w:eastAsia="Calibri"/>
          <w:kern w:val="24"/>
        </w:rPr>
        <w:t>Koefi</w:t>
      </w:r>
      <w:r w:rsidR="001B6E5A" w:rsidRPr="00EE2DE7">
        <w:rPr>
          <w:rFonts w:eastAsia="Calibri"/>
          <w:kern w:val="24"/>
          <w:lang w:eastAsia="ja-JP"/>
        </w:rPr>
        <w:t xml:space="preserve">cienti i vështirësisë së Grupit II </w:t>
      </w:r>
    </w:p>
    <w:p w:rsidR="001B6E5A" w:rsidRPr="00EE2DE7" w:rsidRDefault="001B6E5A" w:rsidP="001B6E5A">
      <w:pPr>
        <w:jc w:val="both"/>
        <w:rPr>
          <w:rFonts w:eastAsia="Calibri"/>
          <w:kern w:val="24"/>
          <w:lang w:eastAsia="ja-JP"/>
        </w:rPr>
      </w:pPr>
    </w:p>
    <w:p w:rsidR="00B02831" w:rsidRDefault="00B02831" w:rsidP="00D0460F">
      <w:pPr>
        <w:pStyle w:val="My"/>
        <w:spacing w:line="276" w:lineRule="auto"/>
        <w:jc w:val="both"/>
        <w:rPr>
          <w:rFonts w:ascii="Times New Roman" w:hAnsi="Times New Roman" w:cs="Times New Roman"/>
          <w:b/>
          <w:lang w:val="en-US"/>
        </w:rPr>
      </w:pPr>
    </w:p>
    <w:p w:rsidR="00B02831" w:rsidRDefault="00B02831" w:rsidP="00D0460F">
      <w:pPr>
        <w:pStyle w:val="My"/>
        <w:spacing w:line="276" w:lineRule="auto"/>
        <w:jc w:val="both"/>
        <w:rPr>
          <w:rFonts w:ascii="Times New Roman" w:hAnsi="Times New Roman" w:cs="Times New Roman"/>
          <w:b/>
          <w:lang w:val="en-US"/>
        </w:rPr>
      </w:pPr>
    </w:p>
    <w:p w:rsidR="00B02831" w:rsidRPr="001B6E5A" w:rsidRDefault="001B6E5A" w:rsidP="00D0460F">
      <w:pPr>
        <w:pStyle w:val="My"/>
        <w:spacing w:line="276" w:lineRule="auto"/>
        <w:jc w:val="both"/>
        <w:rPr>
          <w:rFonts w:ascii="Times New Roman" w:hAnsi="Times New Roman" w:cs="Times New Roman"/>
          <w:b/>
          <w:color w:val="CC9966" w:themeColor="accent2"/>
          <w:sz w:val="32"/>
          <w:lang w:val="en-US"/>
        </w:rPr>
      </w:pPr>
      <w:r w:rsidRPr="001B6E5A">
        <w:rPr>
          <w:rFonts w:ascii="Times New Roman" w:hAnsi="Times New Roman" w:cs="Times New Roman"/>
          <w:b/>
          <w:color w:val="CC9966" w:themeColor="accent2"/>
          <w:sz w:val="32"/>
          <w:lang w:val="en-US"/>
        </w:rPr>
        <w:lastRenderedPageBreak/>
        <w:t>1.4</w:t>
      </w:r>
      <w:r w:rsidR="00A41A6D">
        <w:rPr>
          <w:rFonts w:ascii="Times New Roman" w:hAnsi="Times New Roman" w:cs="Times New Roman"/>
          <w:b/>
          <w:color w:val="CC9966" w:themeColor="accent2"/>
          <w:sz w:val="32"/>
          <w:lang w:val="en-US"/>
        </w:rPr>
        <w:t xml:space="preserve">. </w:t>
      </w:r>
      <w:r w:rsidRPr="001B6E5A">
        <w:rPr>
          <w:rFonts w:ascii="Times New Roman" w:hAnsi="Times New Roman" w:cs="Times New Roman"/>
          <w:b/>
          <w:color w:val="CC9966" w:themeColor="accent2"/>
          <w:sz w:val="32"/>
          <w:lang w:val="en-US"/>
        </w:rPr>
        <w:t>Realizimi i programit mësimor të vitit të dytë të Shkollës</w:t>
      </w:r>
    </w:p>
    <w:p w:rsidR="00B02831" w:rsidRDefault="00B02831" w:rsidP="00D0460F">
      <w:pPr>
        <w:pStyle w:val="My"/>
        <w:spacing w:line="276" w:lineRule="auto"/>
        <w:jc w:val="both"/>
        <w:rPr>
          <w:rFonts w:ascii="Times New Roman" w:hAnsi="Times New Roman" w:cs="Times New Roman"/>
          <w:b/>
          <w:lang w:val="en-US"/>
        </w:rPr>
      </w:pPr>
    </w:p>
    <w:p w:rsidR="00036DBB" w:rsidRPr="00036DBB" w:rsidRDefault="00036DBB" w:rsidP="00036DBB">
      <w:pPr>
        <w:spacing w:line="276" w:lineRule="auto"/>
        <w:ind w:right="26"/>
        <w:jc w:val="both"/>
        <w:rPr>
          <w:rFonts w:eastAsia="Tw Cen MT"/>
        </w:rPr>
      </w:pPr>
      <w:r w:rsidRPr="00036DBB">
        <w:rPr>
          <w:rFonts w:eastAsia="Tw Cen MT"/>
        </w:rPr>
        <w:t xml:space="preserve">Në vitin e dytë Shkolla e Magjistraturës pati 25 kandidatë për magjistratë. </w:t>
      </w:r>
    </w:p>
    <w:p w:rsidR="00036DBB" w:rsidRPr="00036DBB" w:rsidRDefault="00036DBB" w:rsidP="00036DBB">
      <w:pPr>
        <w:spacing w:line="276" w:lineRule="auto"/>
        <w:ind w:right="26"/>
        <w:jc w:val="both"/>
        <w:rPr>
          <w:rFonts w:eastAsia="Tw Cen MT"/>
        </w:rPr>
      </w:pPr>
      <w:r w:rsidRPr="00036DBB">
        <w:rPr>
          <w:rFonts w:eastAsia="Tw Cen MT"/>
        </w:rPr>
        <w:t>Gjatë vitit akademik kandidatët kishin ngarkesën mësimore si më poshtë:</w:t>
      </w:r>
    </w:p>
    <w:p w:rsidR="00036DBB" w:rsidRPr="00036DBB" w:rsidRDefault="00036DBB" w:rsidP="00036DBB">
      <w:pPr>
        <w:spacing w:line="276" w:lineRule="auto"/>
        <w:ind w:right="26"/>
        <w:jc w:val="both"/>
        <w:rPr>
          <w:rFonts w:eastAsia="Tw Cen MT"/>
        </w:rPr>
      </w:pPr>
      <w:r w:rsidRPr="00036DBB">
        <w:rPr>
          <w:rFonts w:eastAsia="Tw Cen MT"/>
        </w:rPr>
        <w:t>Në total një ngarkesë mësimore dhe praktike prej 1272 orësh, nga të cilat:</w:t>
      </w:r>
    </w:p>
    <w:p w:rsidR="00036DBB" w:rsidRPr="00036DBB" w:rsidRDefault="00036DBB" w:rsidP="00036DBB">
      <w:pPr>
        <w:spacing w:line="276" w:lineRule="auto"/>
        <w:ind w:right="26"/>
        <w:jc w:val="both"/>
        <w:rPr>
          <w:rFonts w:eastAsia="Tw Cen MT"/>
        </w:rPr>
      </w:pPr>
      <w:r w:rsidRPr="00036DBB">
        <w:rPr>
          <w:rFonts w:eastAsia="Tw Cen MT"/>
        </w:rPr>
        <w:t>-</w:t>
      </w:r>
      <w:r w:rsidRPr="00036DBB">
        <w:rPr>
          <w:rFonts w:eastAsia="Tw Cen MT"/>
        </w:rPr>
        <w:tab/>
        <w:t xml:space="preserve">896 orë praktikë vëzhguese në organet e drejtësisë dhe institucione të tjera; </w:t>
      </w:r>
    </w:p>
    <w:p w:rsidR="00036DBB" w:rsidRPr="00036DBB" w:rsidRDefault="00036DBB" w:rsidP="00036DBB">
      <w:pPr>
        <w:spacing w:line="276" w:lineRule="auto"/>
        <w:ind w:right="26"/>
        <w:jc w:val="both"/>
        <w:rPr>
          <w:rFonts w:eastAsia="Tw Cen MT"/>
        </w:rPr>
      </w:pPr>
      <w:r w:rsidRPr="00036DBB">
        <w:rPr>
          <w:rFonts w:eastAsia="Tw Cen MT"/>
        </w:rPr>
        <w:t>-</w:t>
      </w:r>
      <w:r w:rsidRPr="00036DBB">
        <w:rPr>
          <w:rFonts w:eastAsia="Tw Cen MT"/>
        </w:rPr>
        <w:tab/>
        <w:t xml:space="preserve">376 orë të formimit teorik dhe praktik. </w:t>
      </w:r>
    </w:p>
    <w:p w:rsidR="00036DBB" w:rsidRPr="00036DBB" w:rsidRDefault="00036DBB" w:rsidP="00036DBB">
      <w:pPr>
        <w:spacing w:line="276" w:lineRule="auto"/>
        <w:ind w:right="26"/>
        <w:jc w:val="both"/>
        <w:rPr>
          <w:rFonts w:eastAsia="Tw Cen MT"/>
        </w:rPr>
      </w:pPr>
      <w:r w:rsidRPr="00036DBB">
        <w:rPr>
          <w:rFonts w:eastAsia="Tw Cen MT"/>
        </w:rPr>
        <w:t xml:space="preserve">Ndarja e ngarkesës së tyre në institucione dhe në auditor sipas semestrave është si më poshtë: </w:t>
      </w:r>
    </w:p>
    <w:p w:rsidR="00036DBB" w:rsidRPr="00036DBB" w:rsidRDefault="00036DBB" w:rsidP="00036DBB">
      <w:pPr>
        <w:spacing w:line="276" w:lineRule="auto"/>
        <w:ind w:right="26"/>
        <w:jc w:val="both"/>
        <w:rPr>
          <w:rFonts w:eastAsia="Tw Cen MT"/>
        </w:rPr>
      </w:pPr>
      <w:r w:rsidRPr="00036DBB">
        <w:rPr>
          <w:rFonts w:eastAsia="Tw Cen MT"/>
        </w:rPr>
        <w:t>-</w:t>
      </w:r>
      <w:r w:rsidRPr="00036DBB">
        <w:rPr>
          <w:rFonts w:eastAsia="Tw Cen MT"/>
        </w:rPr>
        <w:tab/>
        <w:t>4 ditë në javë në praktikë - 1 ditë në javë në Shkollë - Semestri I;</w:t>
      </w:r>
    </w:p>
    <w:p w:rsidR="00036DBB" w:rsidRDefault="00036DBB" w:rsidP="00036DBB">
      <w:pPr>
        <w:spacing w:line="276" w:lineRule="auto"/>
        <w:ind w:right="26"/>
        <w:jc w:val="both"/>
        <w:rPr>
          <w:rFonts w:eastAsia="Tw Cen MT"/>
        </w:rPr>
      </w:pPr>
      <w:r w:rsidRPr="00036DBB">
        <w:rPr>
          <w:rFonts w:eastAsia="Tw Cen MT"/>
        </w:rPr>
        <w:t>-</w:t>
      </w:r>
      <w:r w:rsidRPr="00036DBB">
        <w:rPr>
          <w:rFonts w:eastAsia="Tw Cen MT"/>
        </w:rPr>
        <w:tab/>
        <w:t>3 ditë në javë në praktikë - 2 ditë në javë në Shkollë - Semestri II.</w:t>
      </w:r>
    </w:p>
    <w:p w:rsidR="00036DBB" w:rsidRPr="00036DBB" w:rsidRDefault="00036DBB" w:rsidP="00036DBB">
      <w:pPr>
        <w:spacing w:line="276" w:lineRule="auto"/>
        <w:ind w:right="26"/>
        <w:jc w:val="both"/>
        <w:rPr>
          <w:rFonts w:eastAsia="Tw Cen MT"/>
        </w:rPr>
      </w:pPr>
    </w:p>
    <w:p w:rsidR="00036DBB" w:rsidRDefault="00036DBB" w:rsidP="00036DBB">
      <w:pPr>
        <w:spacing w:line="276" w:lineRule="auto"/>
        <w:ind w:right="26"/>
        <w:jc w:val="both"/>
        <w:rPr>
          <w:rFonts w:eastAsia="Tw Cen MT"/>
        </w:rPr>
      </w:pPr>
      <w:r w:rsidRPr="00036DBB">
        <w:rPr>
          <w:rFonts w:eastAsia="Tw Cen MT"/>
        </w:rPr>
        <w:t xml:space="preserve">Në vitin e dytë u zhvilluan: </w:t>
      </w:r>
    </w:p>
    <w:p w:rsidR="00036DBB" w:rsidRPr="00036DBB" w:rsidRDefault="00036DBB" w:rsidP="00036DBB">
      <w:pPr>
        <w:spacing w:line="276" w:lineRule="auto"/>
        <w:ind w:right="26"/>
        <w:jc w:val="both"/>
        <w:rPr>
          <w:rFonts w:eastAsia="Tw Cen MT"/>
        </w:rPr>
      </w:pPr>
    </w:p>
    <w:p w:rsidR="00036DBB" w:rsidRPr="00036DBB" w:rsidRDefault="00036DBB" w:rsidP="00036DBB">
      <w:pPr>
        <w:spacing w:line="276" w:lineRule="auto"/>
        <w:ind w:right="26"/>
        <w:jc w:val="both"/>
        <w:rPr>
          <w:rFonts w:eastAsia="Tw Cen MT"/>
        </w:rPr>
      </w:pPr>
      <w:r w:rsidRPr="00036DBB">
        <w:rPr>
          <w:rFonts w:eastAsia="Tw Cen MT"/>
        </w:rPr>
        <w:t xml:space="preserve"> </w:t>
      </w:r>
      <w:r w:rsidRPr="00036DBB">
        <w:rPr>
          <w:b/>
          <w:color w:val="CC9966" w:themeColor="accent2"/>
          <w:sz w:val="28"/>
        </w:rPr>
        <w:t>Grupi i dytë</w:t>
      </w:r>
    </w:p>
    <w:p w:rsidR="00B27682" w:rsidRDefault="00036DBB" w:rsidP="00036DBB">
      <w:pPr>
        <w:spacing w:line="276" w:lineRule="auto"/>
        <w:ind w:right="26"/>
        <w:jc w:val="both"/>
        <w:rPr>
          <w:rFonts w:eastAsia="Tw Cen MT"/>
          <w:b/>
        </w:rPr>
      </w:pPr>
      <w:r w:rsidRPr="00036DBB">
        <w:rPr>
          <w:rFonts w:eastAsia="Tw Cen MT"/>
          <w:b/>
        </w:rPr>
        <w:t>1.</w:t>
      </w:r>
      <w:r w:rsidRPr="00036DBB">
        <w:rPr>
          <w:rFonts w:eastAsia="Tw Cen MT"/>
          <w:b/>
        </w:rPr>
        <w:tab/>
        <w:t>Kurset në funksion të formimit të përgjithshëm</w:t>
      </w:r>
    </w:p>
    <w:p w:rsidR="00B27682" w:rsidRPr="00B27682" w:rsidRDefault="00036DBB" w:rsidP="005C2687">
      <w:pPr>
        <w:pStyle w:val="ListParagraph"/>
        <w:numPr>
          <w:ilvl w:val="0"/>
          <w:numId w:val="8"/>
        </w:numPr>
        <w:spacing w:line="276" w:lineRule="auto"/>
        <w:ind w:right="26"/>
        <w:jc w:val="both"/>
        <w:rPr>
          <w:rFonts w:eastAsia="Tw Cen MT"/>
          <w:b/>
        </w:rPr>
      </w:pPr>
      <w:r w:rsidRPr="00B27682">
        <w:rPr>
          <w:rFonts w:eastAsia="Tw Cen MT"/>
        </w:rPr>
        <w:t>Psikologji dhe komunikim;</w:t>
      </w:r>
    </w:p>
    <w:p w:rsidR="00B27682" w:rsidRPr="00B27682" w:rsidRDefault="00036DBB" w:rsidP="005C2687">
      <w:pPr>
        <w:pStyle w:val="ListParagraph"/>
        <w:numPr>
          <w:ilvl w:val="0"/>
          <w:numId w:val="8"/>
        </w:numPr>
        <w:spacing w:line="276" w:lineRule="auto"/>
        <w:ind w:right="26"/>
        <w:jc w:val="both"/>
        <w:rPr>
          <w:rFonts w:eastAsia="Tw Cen MT"/>
          <w:b/>
        </w:rPr>
      </w:pPr>
      <w:r w:rsidRPr="00B27682">
        <w:rPr>
          <w:rFonts w:eastAsia="Tw Cen MT"/>
        </w:rPr>
        <w:t>Anglishtja ligjore;</w:t>
      </w:r>
    </w:p>
    <w:p w:rsidR="00B27682" w:rsidRPr="00B27682" w:rsidRDefault="00036DBB" w:rsidP="005C2687">
      <w:pPr>
        <w:pStyle w:val="ListParagraph"/>
        <w:numPr>
          <w:ilvl w:val="0"/>
          <w:numId w:val="8"/>
        </w:numPr>
        <w:spacing w:line="276" w:lineRule="auto"/>
        <w:ind w:right="26"/>
        <w:jc w:val="both"/>
        <w:rPr>
          <w:rFonts w:eastAsia="Tw Cen MT"/>
          <w:b/>
        </w:rPr>
      </w:pPr>
      <w:r w:rsidRPr="00B27682">
        <w:rPr>
          <w:rFonts w:eastAsia="Tw Cen MT"/>
        </w:rPr>
        <w:t>Kriminalistikë;</w:t>
      </w:r>
    </w:p>
    <w:p w:rsidR="00B27682" w:rsidRPr="00B27682" w:rsidRDefault="00036DBB" w:rsidP="005C2687">
      <w:pPr>
        <w:pStyle w:val="ListParagraph"/>
        <w:numPr>
          <w:ilvl w:val="0"/>
          <w:numId w:val="8"/>
        </w:numPr>
        <w:spacing w:line="276" w:lineRule="auto"/>
        <w:ind w:right="26"/>
        <w:jc w:val="both"/>
        <w:rPr>
          <w:rFonts w:eastAsia="Tw Cen MT"/>
          <w:b/>
        </w:rPr>
      </w:pPr>
      <w:r w:rsidRPr="00B27682">
        <w:rPr>
          <w:rFonts w:eastAsia="Tw Cen MT"/>
        </w:rPr>
        <w:t xml:space="preserve">Informatikë ligjore. </w:t>
      </w:r>
    </w:p>
    <w:p w:rsidR="00B27682" w:rsidRPr="00B27682" w:rsidRDefault="00B27682" w:rsidP="00B27682">
      <w:pPr>
        <w:spacing w:line="276" w:lineRule="auto"/>
        <w:ind w:left="360" w:right="26"/>
        <w:jc w:val="both"/>
        <w:rPr>
          <w:rFonts w:eastAsia="Tw Cen MT"/>
          <w:b/>
        </w:rPr>
      </w:pPr>
    </w:p>
    <w:p w:rsidR="00B27682" w:rsidRDefault="00B27682" w:rsidP="00036DBB">
      <w:pPr>
        <w:spacing w:line="276" w:lineRule="auto"/>
        <w:ind w:right="26"/>
        <w:jc w:val="both"/>
        <w:rPr>
          <w:rFonts w:eastAsia="Tw Cen MT"/>
          <w:b/>
        </w:rPr>
      </w:pPr>
      <w:r>
        <w:rPr>
          <w:rFonts w:eastAsia="Tw Cen MT"/>
          <w:b/>
        </w:rPr>
        <w:t xml:space="preserve">2.         </w:t>
      </w:r>
      <w:r w:rsidR="00036DBB" w:rsidRPr="00B27682">
        <w:rPr>
          <w:rFonts w:eastAsia="Tw Cen MT"/>
          <w:b/>
        </w:rPr>
        <w:t>Kurse praktike</w:t>
      </w:r>
    </w:p>
    <w:p w:rsidR="00B27682" w:rsidRPr="00B27682" w:rsidRDefault="00036DBB" w:rsidP="005C2687">
      <w:pPr>
        <w:pStyle w:val="ListParagraph"/>
        <w:numPr>
          <w:ilvl w:val="0"/>
          <w:numId w:val="9"/>
        </w:numPr>
        <w:spacing w:line="276" w:lineRule="auto"/>
        <w:ind w:right="26"/>
        <w:jc w:val="both"/>
        <w:rPr>
          <w:rFonts w:eastAsia="Tw Cen MT"/>
          <w:b/>
        </w:rPr>
      </w:pPr>
      <w:r w:rsidRPr="00B27682">
        <w:rPr>
          <w:rFonts w:eastAsia="Tw Cen MT"/>
        </w:rPr>
        <w:t xml:space="preserve">Klinika ligjore dhe shkencore; </w:t>
      </w:r>
    </w:p>
    <w:p w:rsidR="00B27682" w:rsidRPr="00B27682" w:rsidRDefault="00036DBB" w:rsidP="005C2687">
      <w:pPr>
        <w:pStyle w:val="ListParagraph"/>
        <w:numPr>
          <w:ilvl w:val="0"/>
          <w:numId w:val="9"/>
        </w:numPr>
        <w:spacing w:line="276" w:lineRule="auto"/>
        <w:ind w:right="26"/>
        <w:jc w:val="both"/>
        <w:rPr>
          <w:rFonts w:eastAsia="Tw Cen MT"/>
          <w:b/>
        </w:rPr>
      </w:pPr>
      <w:r w:rsidRPr="00B27682">
        <w:rPr>
          <w:rFonts w:eastAsia="Tw Cen MT"/>
        </w:rPr>
        <w:t>Aftësimi i prezantimit të çështjes në gjyq;</w:t>
      </w:r>
    </w:p>
    <w:p w:rsidR="00036DBB" w:rsidRPr="00B27682" w:rsidRDefault="00036DBB" w:rsidP="005C2687">
      <w:pPr>
        <w:pStyle w:val="ListParagraph"/>
        <w:numPr>
          <w:ilvl w:val="0"/>
          <w:numId w:val="9"/>
        </w:numPr>
        <w:spacing w:line="276" w:lineRule="auto"/>
        <w:ind w:right="26"/>
        <w:jc w:val="both"/>
        <w:rPr>
          <w:rFonts w:eastAsia="Tw Cen MT"/>
          <w:b/>
        </w:rPr>
      </w:pPr>
      <w:r w:rsidRPr="00B27682">
        <w:rPr>
          <w:rFonts w:eastAsia="Tw Cen MT"/>
        </w:rPr>
        <w:t xml:space="preserve">Shkrimi dhe arsyetimi ligjor. </w:t>
      </w:r>
    </w:p>
    <w:p w:rsidR="00036DBB" w:rsidRPr="00036DBB" w:rsidRDefault="00036DBB" w:rsidP="00036DBB">
      <w:pPr>
        <w:spacing w:line="276" w:lineRule="auto"/>
        <w:ind w:right="26"/>
        <w:jc w:val="both"/>
        <w:rPr>
          <w:rFonts w:eastAsia="Tw Cen MT"/>
          <w:b/>
        </w:rPr>
      </w:pPr>
    </w:p>
    <w:p w:rsidR="00036DBB" w:rsidRDefault="00036DBB" w:rsidP="00036DBB">
      <w:pPr>
        <w:spacing w:line="276" w:lineRule="auto"/>
        <w:ind w:right="26"/>
        <w:jc w:val="both"/>
        <w:rPr>
          <w:rFonts w:eastAsia="Tw Cen MT"/>
          <w:b/>
        </w:rPr>
      </w:pPr>
      <w:r w:rsidRPr="00036DBB">
        <w:rPr>
          <w:rFonts w:eastAsia="Tw Cen MT"/>
          <w:b/>
        </w:rPr>
        <w:t xml:space="preserve">3. </w:t>
      </w:r>
      <w:r w:rsidR="00B27682">
        <w:rPr>
          <w:rFonts w:eastAsia="Tw Cen MT"/>
          <w:b/>
        </w:rPr>
        <w:t xml:space="preserve">        </w:t>
      </w:r>
      <w:r w:rsidRPr="00036DBB">
        <w:rPr>
          <w:rFonts w:eastAsia="Tw Cen MT"/>
          <w:b/>
        </w:rPr>
        <w:t>Praktika sipas këtyre fushave</w:t>
      </w:r>
    </w:p>
    <w:p w:rsidR="00B27682" w:rsidRPr="00B27682" w:rsidRDefault="00036DBB" w:rsidP="005C2687">
      <w:pPr>
        <w:pStyle w:val="ListParagraph"/>
        <w:numPr>
          <w:ilvl w:val="0"/>
          <w:numId w:val="7"/>
        </w:numPr>
        <w:spacing w:line="276" w:lineRule="auto"/>
        <w:ind w:right="26"/>
        <w:jc w:val="both"/>
        <w:rPr>
          <w:rFonts w:eastAsia="Tw Cen MT"/>
          <w:b/>
        </w:rPr>
      </w:pPr>
      <w:r w:rsidRPr="00036DBB">
        <w:rPr>
          <w:rFonts w:eastAsia="Tw Cen MT"/>
        </w:rPr>
        <w:t>Diskutime të çështjeve të praktikës;</w:t>
      </w:r>
    </w:p>
    <w:p w:rsidR="00B27682" w:rsidRPr="00B27682" w:rsidRDefault="00036DBB" w:rsidP="005C2687">
      <w:pPr>
        <w:pStyle w:val="ListParagraph"/>
        <w:numPr>
          <w:ilvl w:val="0"/>
          <w:numId w:val="7"/>
        </w:numPr>
        <w:spacing w:line="276" w:lineRule="auto"/>
        <w:ind w:right="26"/>
        <w:jc w:val="both"/>
        <w:rPr>
          <w:rFonts w:eastAsia="Tw Cen MT"/>
          <w:b/>
        </w:rPr>
      </w:pPr>
      <w:r w:rsidRPr="00B27682">
        <w:rPr>
          <w:rFonts w:eastAsia="Tw Cen MT"/>
        </w:rPr>
        <w:t xml:space="preserve">Çështje që lidhen me fushën penale; </w:t>
      </w:r>
    </w:p>
    <w:p w:rsidR="00B27682" w:rsidRPr="00B27682" w:rsidRDefault="00036DBB" w:rsidP="005C2687">
      <w:pPr>
        <w:pStyle w:val="ListParagraph"/>
        <w:numPr>
          <w:ilvl w:val="0"/>
          <w:numId w:val="7"/>
        </w:numPr>
        <w:spacing w:line="276" w:lineRule="auto"/>
        <w:ind w:right="26"/>
        <w:jc w:val="both"/>
        <w:rPr>
          <w:rFonts w:eastAsia="Tw Cen MT"/>
          <w:b/>
        </w:rPr>
      </w:pPr>
      <w:r w:rsidRPr="00B27682">
        <w:rPr>
          <w:rFonts w:eastAsia="Tw Cen MT"/>
        </w:rPr>
        <w:t xml:space="preserve">Çështje që lidhen me fushën civile; </w:t>
      </w:r>
    </w:p>
    <w:p w:rsidR="00B27682" w:rsidRPr="00B27682" w:rsidRDefault="00036DBB" w:rsidP="005C2687">
      <w:pPr>
        <w:pStyle w:val="ListParagraph"/>
        <w:numPr>
          <w:ilvl w:val="0"/>
          <w:numId w:val="7"/>
        </w:numPr>
        <w:spacing w:line="276" w:lineRule="auto"/>
        <w:ind w:right="26"/>
        <w:jc w:val="both"/>
        <w:rPr>
          <w:rFonts w:eastAsia="Tw Cen MT"/>
          <w:b/>
        </w:rPr>
      </w:pPr>
      <w:r w:rsidRPr="00B27682">
        <w:rPr>
          <w:rFonts w:eastAsia="Tw Cen MT"/>
        </w:rPr>
        <w:t>Çështje që lidhen me fushën administrative;</w:t>
      </w:r>
    </w:p>
    <w:p w:rsidR="00036DBB" w:rsidRPr="00B27682" w:rsidRDefault="00036DBB" w:rsidP="005C2687">
      <w:pPr>
        <w:pStyle w:val="ListParagraph"/>
        <w:numPr>
          <w:ilvl w:val="0"/>
          <w:numId w:val="7"/>
        </w:numPr>
        <w:spacing w:line="276" w:lineRule="auto"/>
        <w:ind w:right="26"/>
        <w:jc w:val="both"/>
        <w:rPr>
          <w:rFonts w:eastAsia="Tw Cen MT"/>
          <w:b/>
        </w:rPr>
      </w:pPr>
      <w:r w:rsidRPr="00B27682">
        <w:rPr>
          <w:rFonts w:eastAsia="Tw Cen MT"/>
        </w:rPr>
        <w:t xml:space="preserve">Çështje që lidhen me fushën kushtetuese. </w:t>
      </w:r>
    </w:p>
    <w:p w:rsidR="00036DBB" w:rsidRPr="00036DBB" w:rsidRDefault="00036DBB" w:rsidP="00036DBB">
      <w:pPr>
        <w:spacing w:line="276" w:lineRule="auto"/>
        <w:ind w:right="26"/>
        <w:jc w:val="both"/>
        <w:rPr>
          <w:rFonts w:eastAsia="Tw Cen MT"/>
        </w:rPr>
      </w:pPr>
    </w:p>
    <w:p w:rsidR="00036DBB" w:rsidRPr="00B27682" w:rsidRDefault="00036DBB" w:rsidP="00036DBB">
      <w:pPr>
        <w:spacing w:line="276" w:lineRule="auto"/>
        <w:ind w:right="26"/>
        <w:jc w:val="both"/>
        <w:rPr>
          <w:rFonts w:eastAsia="Tw Cen MT"/>
          <w:b/>
        </w:rPr>
      </w:pPr>
      <w:r w:rsidRPr="00B27682">
        <w:rPr>
          <w:rFonts w:eastAsia="Tw Cen MT"/>
          <w:b/>
        </w:rPr>
        <w:t xml:space="preserve">4.   </w:t>
      </w:r>
      <w:r w:rsidR="00B27682">
        <w:rPr>
          <w:rFonts w:eastAsia="Tw Cen MT"/>
          <w:b/>
        </w:rPr>
        <w:t xml:space="preserve">      </w:t>
      </w:r>
      <w:r w:rsidRPr="00B27682">
        <w:rPr>
          <w:rFonts w:eastAsia="Tw Cen MT"/>
          <w:b/>
        </w:rPr>
        <w:t>Gjyqe imituese / debat</w:t>
      </w:r>
    </w:p>
    <w:p w:rsidR="00036DBB" w:rsidRPr="00036DBB" w:rsidRDefault="00036DBB" w:rsidP="00036DBB">
      <w:pPr>
        <w:spacing w:line="276" w:lineRule="auto"/>
        <w:ind w:right="26"/>
        <w:jc w:val="both"/>
        <w:rPr>
          <w:rFonts w:eastAsia="Tw Cen MT"/>
        </w:rPr>
      </w:pPr>
      <w:r w:rsidRPr="00036DBB">
        <w:rPr>
          <w:rFonts w:eastAsia="Tw Cen MT"/>
        </w:rPr>
        <w:t xml:space="preserve">             Përgatitje aktesh. </w:t>
      </w:r>
    </w:p>
    <w:p w:rsidR="00036DBB" w:rsidRPr="00036DBB" w:rsidRDefault="00036DBB" w:rsidP="00036DBB">
      <w:pPr>
        <w:spacing w:line="276" w:lineRule="auto"/>
        <w:ind w:right="26"/>
        <w:jc w:val="both"/>
        <w:rPr>
          <w:rFonts w:eastAsia="Tw Cen MT"/>
        </w:rPr>
      </w:pPr>
    </w:p>
    <w:p w:rsidR="00036DBB" w:rsidRPr="00B27682" w:rsidRDefault="00036DBB" w:rsidP="00036DBB">
      <w:pPr>
        <w:spacing w:line="276" w:lineRule="auto"/>
        <w:ind w:right="26"/>
        <w:jc w:val="both"/>
        <w:rPr>
          <w:rFonts w:eastAsia="Tw Cen MT"/>
          <w:b/>
        </w:rPr>
      </w:pPr>
      <w:r w:rsidRPr="00B27682">
        <w:rPr>
          <w:rFonts w:eastAsia="Tw Cen MT"/>
          <w:b/>
        </w:rPr>
        <w:t xml:space="preserve">5.   </w:t>
      </w:r>
      <w:r w:rsidR="00B27682">
        <w:rPr>
          <w:rFonts w:eastAsia="Tw Cen MT"/>
          <w:b/>
        </w:rPr>
        <w:t xml:space="preserve">   </w:t>
      </w:r>
      <w:r w:rsidRPr="00B27682">
        <w:rPr>
          <w:rFonts w:eastAsia="Tw Cen MT"/>
          <w:b/>
        </w:rPr>
        <w:t>Diskutime të çështjeve të praktikës në institucione</w:t>
      </w:r>
    </w:p>
    <w:p w:rsidR="00B02831" w:rsidRPr="00036DBB" w:rsidRDefault="00036DBB" w:rsidP="00036DBB">
      <w:pPr>
        <w:spacing w:line="276" w:lineRule="auto"/>
        <w:ind w:right="26"/>
        <w:jc w:val="both"/>
        <w:rPr>
          <w:rFonts w:eastAsia="Tw Cen MT"/>
        </w:rPr>
      </w:pPr>
      <w:r w:rsidRPr="00036DBB">
        <w:rPr>
          <w:rFonts w:eastAsia="Tw Cen MT"/>
        </w:rPr>
        <w:t xml:space="preserve">             Përgatitje e Dosjeve (Civile, Penale)</w:t>
      </w:r>
    </w:p>
    <w:p w:rsidR="00B02831" w:rsidRPr="00036DBB" w:rsidRDefault="00B02831" w:rsidP="00036DBB">
      <w:pPr>
        <w:spacing w:line="276" w:lineRule="auto"/>
        <w:ind w:right="26"/>
        <w:jc w:val="both"/>
        <w:rPr>
          <w:rFonts w:eastAsia="Tw Cen MT"/>
        </w:rPr>
      </w:pPr>
    </w:p>
    <w:p w:rsidR="00F74D7F" w:rsidRPr="00F74D7F" w:rsidRDefault="00F74D7F" w:rsidP="00F74D7F">
      <w:pPr>
        <w:pStyle w:val="My"/>
        <w:spacing w:line="276" w:lineRule="auto"/>
        <w:jc w:val="both"/>
        <w:rPr>
          <w:rFonts w:ascii="Times New Roman" w:hAnsi="Times New Roman"/>
          <w:b/>
          <w:color w:val="CC9966" w:themeColor="accent2"/>
        </w:rPr>
      </w:pPr>
      <w:r>
        <w:rPr>
          <w:rFonts w:ascii="Times New Roman" w:hAnsi="Times New Roman" w:cs="Times New Roman"/>
          <w:b/>
          <w:color w:val="CC9966" w:themeColor="accent2"/>
          <w:sz w:val="28"/>
          <w:lang w:val="en-US"/>
        </w:rPr>
        <w:t>1.4.1</w:t>
      </w:r>
      <w:r w:rsidR="00A41A6D">
        <w:rPr>
          <w:rFonts w:ascii="Times New Roman" w:hAnsi="Times New Roman" w:cs="Times New Roman"/>
          <w:b/>
          <w:color w:val="CC9966" w:themeColor="accent2"/>
          <w:sz w:val="28"/>
          <w:lang w:val="en-US"/>
        </w:rPr>
        <w:t>.</w:t>
      </w:r>
      <w:r>
        <w:rPr>
          <w:rFonts w:ascii="Times New Roman" w:hAnsi="Times New Roman" w:cs="Times New Roman"/>
          <w:b/>
          <w:color w:val="CC9966" w:themeColor="accent2"/>
          <w:sz w:val="28"/>
          <w:lang w:val="en-US"/>
        </w:rPr>
        <w:t xml:space="preserve"> </w:t>
      </w:r>
      <w:r w:rsidRPr="00F74D7F">
        <w:rPr>
          <w:rFonts w:ascii="Times New Roman" w:hAnsi="Times New Roman" w:cs="Times New Roman"/>
          <w:b/>
          <w:color w:val="CC9966" w:themeColor="accent2"/>
          <w:sz w:val="28"/>
          <w:lang w:val="en-US"/>
        </w:rPr>
        <w:t>Plani mësimor i vitit të dytë</w:t>
      </w:r>
    </w:p>
    <w:p w:rsidR="00B02831" w:rsidRPr="00036DBB" w:rsidRDefault="00B02831" w:rsidP="00036DBB">
      <w:pPr>
        <w:spacing w:line="276" w:lineRule="auto"/>
        <w:ind w:right="26"/>
        <w:jc w:val="both"/>
        <w:rPr>
          <w:rFonts w:eastAsia="Tw Cen MT"/>
        </w:rPr>
      </w:pPr>
    </w:p>
    <w:p w:rsidR="00F74D7F" w:rsidRPr="00EE2DE7" w:rsidRDefault="00F74D7F" w:rsidP="00F74D7F">
      <w:pPr>
        <w:tabs>
          <w:tab w:val="left" w:pos="90"/>
        </w:tabs>
        <w:spacing w:line="276" w:lineRule="auto"/>
        <w:contextualSpacing/>
        <w:jc w:val="both"/>
        <w:rPr>
          <w:rFonts w:eastAsia="Tw Cen MT"/>
          <w:kern w:val="24"/>
        </w:rPr>
      </w:pPr>
      <w:r w:rsidRPr="00EE2DE7">
        <w:rPr>
          <w:rFonts w:eastAsia="Tw Cen MT"/>
          <w:kern w:val="24"/>
        </w:rPr>
        <w:t>Organizimi dhe konceptimi i programit dhe planit të vitit të dytë ishte si më poshtë:</w:t>
      </w:r>
    </w:p>
    <w:p w:rsidR="00F74D7F" w:rsidRPr="00EE2DE7" w:rsidRDefault="00F74D7F" w:rsidP="00F74D7F">
      <w:pPr>
        <w:spacing w:line="276" w:lineRule="auto"/>
        <w:contextualSpacing/>
        <w:jc w:val="both"/>
        <w:rPr>
          <w:rFonts w:eastAsia="Calibri"/>
          <w:b/>
          <w:kern w:val="24"/>
        </w:rPr>
      </w:pPr>
      <w:r w:rsidRPr="00EE2DE7">
        <w:rPr>
          <w:rFonts w:eastAsia="Calibri"/>
          <w:b/>
          <w:kern w:val="24"/>
        </w:rPr>
        <w:t xml:space="preserve">1. Kurse me natyrë teoriko-praktike të formimit të përgjithshëm: </w:t>
      </w:r>
    </w:p>
    <w:p w:rsidR="00F74D7F" w:rsidRDefault="00F74D7F" w:rsidP="00F74D7F">
      <w:pPr>
        <w:spacing w:line="276" w:lineRule="auto"/>
        <w:ind w:left="284"/>
        <w:contextualSpacing/>
        <w:jc w:val="both"/>
        <w:rPr>
          <w:rFonts w:eastAsia="Calibri"/>
          <w:kern w:val="24"/>
        </w:rPr>
      </w:pPr>
      <w:r w:rsidRPr="00EE2DE7">
        <w:rPr>
          <w:rFonts w:eastAsia="Calibri"/>
          <w:kern w:val="24"/>
        </w:rPr>
        <w:t>1)</w:t>
      </w:r>
      <w:r w:rsidRPr="00EE2DE7">
        <w:rPr>
          <w:rFonts w:eastAsia="Calibri"/>
          <w:b/>
          <w:kern w:val="24"/>
        </w:rPr>
        <w:t xml:space="preserve"> </w:t>
      </w:r>
      <w:r w:rsidRPr="00EE2DE7">
        <w:rPr>
          <w:rFonts w:eastAsia="Calibri"/>
          <w:kern w:val="24"/>
        </w:rPr>
        <w:t xml:space="preserve">Psikologjia dhe komunikimi; </w:t>
      </w:r>
    </w:p>
    <w:p w:rsidR="00F74D7F" w:rsidRDefault="00F74D7F" w:rsidP="00F74D7F">
      <w:pPr>
        <w:spacing w:line="276" w:lineRule="auto"/>
        <w:ind w:left="284"/>
        <w:contextualSpacing/>
        <w:jc w:val="both"/>
        <w:rPr>
          <w:rFonts w:eastAsia="Calibri"/>
          <w:kern w:val="24"/>
        </w:rPr>
      </w:pPr>
      <w:r w:rsidRPr="00EE2DE7">
        <w:rPr>
          <w:rFonts w:eastAsia="Calibri"/>
          <w:kern w:val="24"/>
        </w:rPr>
        <w:t xml:space="preserve">2) Anglishtja ligjore; </w:t>
      </w:r>
    </w:p>
    <w:p w:rsidR="00F74D7F" w:rsidRDefault="00F74D7F" w:rsidP="00F74D7F">
      <w:pPr>
        <w:spacing w:line="276" w:lineRule="auto"/>
        <w:ind w:left="284"/>
        <w:contextualSpacing/>
        <w:jc w:val="both"/>
        <w:rPr>
          <w:rFonts w:eastAsia="Calibri"/>
          <w:kern w:val="24"/>
        </w:rPr>
      </w:pPr>
      <w:r w:rsidRPr="00EE2DE7">
        <w:rPr>
          <w:rFonts w:eastAsia="Calibri"/>
          <w:kern w:val="24"/>
        </w:rPr>
        <w:t xml:space="preserve">3) Aspekte praktike të informatikës ligjore; </w:t>
      </w:r>
    </w:p>
    <w:p w:rsidR="00F74D7F" w:rsidRPr="00EE2DE7" w:rsidRDefault="00F74D7F" w:rsidP="00F74D7F">
      <w:pPr>
        <w:spacing w:line="276" w:lineRule="auto"/>
        <w:ind w:left="284"/>
        <w:contextualSpacing/>
        <w:jc w:val="both"/>
        <w:rPr>
          <w:rFonts w:eastAsia="Calibri"/>
          <w:kern w:val="24"/>
        </w:rPr>
      </w:pPr>
      <w:r w:rsidRPr="00EE2DE7">
        <w:rPr>
          <w:rFonts w:eastAsia="Calibri"/>
          <w:kern w:val="24"/>
        </w:rPr>
        <w:t xml:space="preserve">4) Kriminalistikë. </w:t>
      </w:r>
    </w:p>
    <w:p w:rsidR="00F74D7F" w:rsidRPr="00EE2DE7" w:rsidRDefault="00F74D7F" w:rsidP="00F74D7F">
      <w:pPr>
        <w:spacing w:line="276" w:lineRule="auto"/>
        <w:contextualSpacing/>
        <w:jc w:val="both"/>
        <w:rPr>
          <w:rFonts w:eastAsia="Calibri"/>
          <w:b/>
          <w:kern w:val="24"/>
        </w:rPr>
      </w:pPr>
      <w:r w:rsidRPr="00EE2DE7">
        <w:rPr>
          <w:rFonts w:eastAsia="Calibri"/>
          <w:b/>
          <w:kern w:val="24"/>
        </w:rPr>
        <w:t xml:space="preserve">2. Kurse me natyrë praktike: </w:t>
      </w:r>
    </w:p>
    <w:p w:rsidR="00F74D7F" w:rsidRPr="00EE2DE7" w:rsidRDefault="00F74D7F" w:rsidP="00F74D7F">
      <w:pPr>
        <w:spacing w:line="276" w:lineRule="auto"/>
        <w:ind w:left="284"/>
        <w:contextualSpacing/>
        <w:jc w:val="both"/>
        <w:rPr>
          <w:rFonts w:eastAsia="Calibri"/>
          <w:kern w:val="24"/>
        </w:rPr>
      </w:pPr>
      <w:r w:rsidRPr="00EE2DE7">
        <w:rPr>
          <w:rFonts w:eastAsia="Calibri"/>
          <w:kern w:val="24"/>
        </w:rPr>
        <w:t xml:space="preserve">1) Klinika ligjore dhe shkencore; </w:t>
      </w:r>
    </w:p>
    <w:p w:rsidR="00F74D7F" w:rsidRPr="00EE2DE7" w:rsidRDefault="00F74D7F" w:rsidP="00F74D7F">
      <w:pPr>
        <w:spacing w:line="276" w:lineRule="auto"/>
        <w:ind w:left="284"/>
        <w:contextualSpacing/>
        <w:jc w:val="both"/>
        <w:rPr>
          <w:rFonts w:eastAsia="Calibri"/>
          <w:kern w:val="24"/>
        </w:rPr>
      </w:pPr>
      <w:r w:rsidRPr="00EE2DE7">
        <w:rPr>
          <w:rFonts w:eastAsia="Calibri"/>
          <w:kern w:val="24"/>
        </w:rPr>
        <w:t>2) Aftësimi i prezantimit të çështjes në gjyq;</w:t>
      </w:r>
    </w:p>
    <w:p w:rsidR="00F74D7F" w:rsidRPr="00EE2DE7" w:rsidRDefault="00F74D7F" w:rsidP="00F74D7F">
      <w:pPr>
        <w:spacing w:line="276" w:lineRule="auto"/>
        <w:ind w:left="284"/>
        <w:contextualSpacing/>
        <w:jc w:val="both"/>
        <w:rPr>
          <w:rFonts w:eastAsia="Calibri"/>
          <w:kern w:val="24"/>
        </w:rPr>
      </w:pPr>
      <w:r w:rsidRPr="00EE2DE7">
        <w:rPr>
          <w:rFonts w:eastAsia="Calibri"/>
          <w:kern w:val="24"/>
        </w:rPr>
        <w:t>3)</w:t>
      </w:r>
      <w:r w:rsidRPr="00EE2DE7">
        <w:rPr>
          <w:rFonts w:eastAsia="Calibri"/>
          <w:b/>
          <w:kern w:val="24"/>
        </w:rPr>
        <w:t xml:space="preserve"> </w:t>
      </w:r>
      <w:r w:rsidRPr="00EE2DE7">
        <w:rPr>
          <w:rFonts w:eastAsia="Calibri"/>
          <w:kern w:val="24"/>
        </w:rPr>
        <w:t xml:space="preserve">Shkrimi dhe arsyetimi. </w:t>
      </w:r>
    </w:p>
    <w:p w:rsidR="00F74D7F" w:rsidRPr="00EE2DE7" w:rsidRDefault="00F74D7F" w:rsidP="00F74D7F">
      <w:pPr>
        <w:spacing w:line="276" w:lineRule="auto"/>
        <w:contextualSpacing/>
        <w:jc w:val="both"/>
        <w:rPr>
          <w:rFonts w:eastAsia="Calibri"/>
          <w:kern w:val="24"/>
        </w:rPr>
      </w:pPr>
      <w:r w:rsidRPr="00EE2DE7">
        <w:rPr>
          <w:rFonts w:eastAsia="Calibri"/>
          <w:b/>
          <w:kern w:val="24"/>
        </w:rPr>
        <w:t xml:space="preserve">3. </w:t>
      </w:r>
      <w:r w:rsidRPr="00EE2DE7">
        <w:rPr>
          <w:rFonts w:eastAsia="Calibri"/>
          <w:kern w:val="24"/>
        </w:rPr>
        <w:t>Në rubrikën</w:t>
      </w:r>
      <w:r w:rsidRPr="00EE2DE7">
        <w:rPr>
          <w:rFonts w:eastAsia="Calibri"/>
          <w:b/>
          <w:kern w:val="24"/>
        </w:rPr>
        <w:t xml:space="preserve"> Debat</w:t>
      </w:r>
      <w:r w:rsidRPr="00EE2DE7">
        <w:rPr>
          <w:rFonts w:eastAsia="Calibri"/>
          <w:kern w:val="24"/>
        </w:rPr>
        <w:t xml:space="preserve"> kishte trajtime nga praktika gjyqësore, si dhe përgatitje të dosjeve për gjyqin imitues në një ose disa çështje konkrete gjyqësore, të tilla si për shembull: nga fusha e sigurimeve, e kriminalistikës, e mjekësisë ligjore, e kontabilitetit, e prokurimeve e të tjera. Një kurs përfshin më shumë se 2-4 çështje, në varësi të problematikës që lidhet me praktikën gjyqësore.</w:t>
      </w:r>
    </w:p>
    <w:p w:rsidR="00F74D7F" w:rsidRPr="00EE2DE7" w:rsidRDefault="00F74D7F" w:rsidP="00F74D7F">
      <w:pPr>
        <w:spacing w:line="276" w:lineRule="auto"/>
        <w:contextualSpacing/>
        <w:jc w:val="both"/>
        <w:rPr>
          <w:rFonts w:eastAsia="Calibri"/>
          <w:kern w:val="24"/>
        </w:rPr>
      </w:pPr>
      <w:r w:rsidRPr="00EE2DE7">
        <w:rPr>
          <w:rFonts w:eastAsia="Calibri"/>
          <w:b/>
          <w:kern w:val="24"/>
        </w:rPr>
        <w:t>4.</w:t>
      </w:r>
      <w:r w:rsidRPr="00EE2DE7">
        <w:rPr>
          <w:rFonts w:eastAsia="Calibri"/>
          <w:kern w:val="24"/>
        </w:rPr>
        <w:t xml:space="preserve"> </w:t>
      </w:r>
      <w:r w:rsidRPr="00EE2DE7">
        <w:rPr>
          <w:rFonts w:eastAsia="Calibri"/>
          <w:b/>
          <w:kern w:val="24"/>
        </w:rPr>
        <w:t xml:space="preserve">Përgatitje e akteve ligjore të nevojshme për realizimin e gjyqeve imituese, si dhe raportimeve për praktikën gjyqësore. </w:t>
      </w:r>
      <w:r w:rsidRPr="00EE2DE7">
        <w:rPr>
          <w:rFonts w:eastAsia="Calibri"/>
          <w:kern w:val="24"/>
        </w:rPr>
        <w:t>Çdo gjyq imitues ka sesionin e tij të përgatitjes së akteve nga kandidatët. Aktet u përgatitën në mënyrë të pavarur nga kandidatët sipas ndarjes së punës në grupe. Në auditor u nxorën konkluzionet e versioneve finale të tyre.</w:t>
      </w:r>
    </w:p>
    <w:p w:rsidR="00F74D7F" w:rsidRPr="00EE2DE7" w:rsidRDefault="00F74D7F" w:rsidP="00F74D7F">
      <w:pPr>
        <w:spacing w:line="276" w:lineRule="auto"/>
        <w:contextualSpacing/>
        <w:jc w:val="both"/>
        <w:rPr>
          <w:rFonts w:eastAsia="Calibri"/>
          <w:kern w:val="24"/>
        </w:rPr>
      </w:pPr>
      <w:r w:rsidRPr="00EE2DE7">
        <w:rPr>
          <w:rFonts w:eastAsia="Calibri"/>
          <w:b/>
          <w:kern w:val="24"/>
        </w:rPr>
        <w:t>5.</w:t>
      </w:r>
      <w:r w:rsidRPr="00EE2DE7">
        <w:rPr>
          <w:rFonts w:eastAsia="Calibri"/>
          <w:kern w:val="24"/>
        </w:rPr>
        <w:t xml:space="preserve"> Gjatë vitit u organizuan 6</w:t>
      </w:r>
      <w:r w:rsidRPr="00EE2DE7">
        <w:rPr>
          <w:rFonts w:eastAsia="Calibri"/>
          <w:b/>
          <w:kern w:val="24"/>
        </w:rPr>
        <w:t xml:space="preserve"> gjyqe imituese</w:t>
      </w:r>
      <w:r w:rsidRPr="00EE2DE7">
        <w:rPr>
          <w:rFonts w:eastAsia="Calibri"/>
          <w:kern w:val="24"/>
        </w:rPr>
        <w:t xml:space="preserve">. </w:t>
      </w:r>
    </w:p>
    <w:p w:rsidR="00F74D7F" w:rsidRPr="00EE2DE7" w:rsidRDefault="00F74D7F" w:rsidP="00F74D7F">
      <w:pPr>
        <w:spacing w:line="276" w:lineRule="auto"/>
        <w:contextualSpacing/>
        <w:jc w:val="both"/>
        <w:rPr>
          <w:rFonts w:eastAsia="Calibri"/>
          <w:kern w:val="24"/>
        </w:rPr>
      </w:pPr>
      <w:r w:rsidRPr="00EE2DE7">
        <w:rPr>
          <w:rFonts w:eastAsia="Calibri"/>
          <w:b/>
          <w:kern w:val="24"/>
        </w:rPr>
        <w:t>6.</w:t>
      </w:r>
      <w:r w:rsidRPr="00EE2DE7">
        <w:rPr>
          <w:rFonts w:eastAsia="Calibri"/>
          <w:kern w:val="24"/>
        </w:rPr>
        <w:t xml:space="preserve"> U përgatit në mënyrë të pavarur nga secili kandidat, </w:t>
      </w:r>
      <w:r w:rsidRPr="00EE2DE7">
        <w:rPr>
          <w:rFonts w:eastAsia="Calibri"/>
          <w:b/>
          <w:kern w:val="24"/>
        </w:rPr>
        <w:t>një dosje me një rast penal</w:t>
      </w:r>
      <w:r w:rsidRPr="00EE2DE7">
        <w:rPr>
          <w:rFonts w:eastAsia="Calibri"/>
          <w:kern w:val="24"/>
        </w:rPr>
        <w:t xml:space="preserve">, të zgjedhur nga ata vetë gjatë praktikës, në të cilin u plotësuan e u kryen të gjitha veprimet e aktet </w:t>
      </w:r>
      <w:r w:rsidRPr="00EE2DE7">
        <w:rPr>
          <w:rFonts w:eastAsia="Calibri"/>
          <w:kern w:val="24"/>
        </w:rPr>
        <w:lastRenderedPageBreak/>
        <w:t>procedurale të nevojshme, nga fillimi i procesit e deri në përfundim të tij.</w:t>
      </w:r>
    </w:p>
    <w:p w:rsidR="00F74D7F" w:rsidRPr="001E0C44" w:rsidRDefault="00F74D7F" w:rsidP="00F74D7F">
      <w:pPr>
        <w:spacing w:line="276" w:lineRule="auto"/>
        <w:jc w:val="both"/>
        <w:rPr>
          <w:rFonts w:eastAsia="Calibri"/>
          <w:kern w:val="24"/>
        </w:rPr>
      </w:pPr>
      <w:r w:rsidRPr="00EE2DE7">
        <w:rPr>
          <w:rFonts w:eastAsia="Calibri"/>
          <w:b/>
          <w:kern w:val="24"/>
        </w:rPr>
        <w:t xml:space="preserve">7. </w:t>
      </w:r>
      <w:r w:rsidRPr="00EE2DE7">
        <w:rPr>
          <w:rFonts w:eastAsia="Calibri"/>
          <w:kern w:val="24"/>
        </w:rPr>
        <w:t xml:space="preserve">Organizimi i temës </w:t>
      </w:r>
      <w:r w:rsidRPr="00EE2DE7">
        <w:rPr>
          <w:rFonts w:eastAsia="Calibri"/>
          <w:b/>
          <w:kern w:val="24"/>
        </w:rPr>
        <w:t>së vitit të dytë,</w:t>
      </w:r>
      <w:r w:rsidRPr="00EE2DE7">
        <w:rPr>
          <w:rFonts w:eastAsia="Calibri"/>
          <w:kern w:val="24"/>
        </w:rPr>
        <w:t xml:space="preserve"> u orientua më fort drejt praktikës gjyqësore, nën drejtimin e një udhëheqësi shkencor. </w:t>
      </w:r>
    </w:p>
    <w:p w:rsidR="00F74D7F" w:rsidRPr="00EE2DE7" w:rsidRDefault="00F74D7F" w:rsidP="00F74D7F">
      <w:pPr>
        <w:spacing w:line="276" w:lineRule="auto"/>
        <w:contextualSpacing/>
        <w:jc w:val="both"/>
        <w:rPr>
          <w:rFonts w:eastAsia="Calibri"/>
          <w:kern w:val="24"/>
        </w:rPr>
      </w:pPr>
      <w:r w:rsidRPr="00EE2DE7">
        <w:rPr>
          <w:rFonts w:eastAsia="Calibri"/>
          <w:b/>
          <w:kern w:val="24"/>
        </w:rPr>
        <w:t>Praktika</w:t>
      </w:r>
      <w:r>
        <w:rPr>
          <w:rFonts w:eastAsia="Calibri"/>
          <w:kern w:val="24"/>
        </w:rPr>
        <w:t xml:space="preserve"> e konceptuar si lëndë më vete</w:t>
      </w:r>
      <w:r w:rsidRPr="00EE2DE7">
        <w:rPr>
          <w:rFonts w:eastAsia="Calibri"/>
          <w:kern w:val="24"/>
        </w:rPr>
        <w:t xml:space="preserve"> përfundoi me dorëzimin e raporteve. Këtë vit u dorëzuan 4 raporte sipas këtyre lëndëve kryesore: e drejtë civile, e drejtë penale, e drejtë administrative dhe e drejtë kushtetuese. </w:t>
      </w:r>
    </w:p>
    <w:p w:rsidR="00F74D7F" w:rsidRPr="00EE2DE7" w:rsidRDefault="00F74D7F" w:rsidP="00F74D7F">
      <w:pPr>
        <w:spacing w:line="276" w:lineRule="auto"/>
        <w:contextualSpacing/>
        <w:jc w:val="both"/>
        <w:rPr>
          <w:rFonts w:eastAsia="Calibri"/>
          <w:kern w:val="24"/>
        </w:rPr>
      </w:pPr>
      <w:r w:rsidRPr="00EE2DE7">
        <w:rPr>
          <w:rFonts w:eastAsia="Calibri"/>
          <w:kern w:val="24"/>
        </w:rPr>
        <w:t xml:space="preserve">Raporti përmbante: </w:t>
      </w:r>
    </w:p>
    <w:p w:rsidR="00F74D7F" w:rsidRPr="00EE2DE7" w:rsidRDefault="00F74D7F" w:rsidP="005C2687">
      <w:pPr>
        <w:numPr>
          <w:ilvl w:val="0"/>
          <w:numId w:val="10"/>
        </w:numPr>
        <w:spacing w:line="276" w:lineRule="auto"/>
        <w:ind w:left="567"/>
        <w:contextualSpacing/>
        <w:jc w:val="both"/>
        <w:rPr>
          <w:rFonts w:eastAsia="Calibri"/>
          <w:kern w:val="24"/>
        </w:rPr>
      </w:pPr>
      <w:r w:rsidRPr="00EE2DE7">
        <w:rPr>
          <w:rFonts w:eastAsia="Tw Cen MT"/>
          <w:b/>
          <w:kern w:val="24"/>
        </w:rPr>
        <w:t>Përshkrimin e fakteve të çështjes që u shtrua për gjykim</w:t>
      </w:r>
      <w:r w:rsidRPr="00EE2DE7">
        <w:rPr>
          <w:rFonts w:eastAsia="Tw Cen MT"/>
          <w:kern w:val="24"/>
        </w:rPr>
        <w:t xml:space="preserve">. Në këtë mënyrë kandidatët u trajnuan për të bërë seleksionimin e fakteve nga njëra anë, por edhe parashtrimin e tyre në mënyrë logjike dhe të rrjedhshme nga ana tjetër. </w:t>
      </w:r>
    </w:p>
    <w:p w:rsidR="00F74D7F" w:rsidRPr="00EE2DE7" w:rsidRDefault="00F74D7F" w:rsidP="005C2687">
      <w:pPr>
        <w:numPr>
          <w:ilvl w:val="0"/>
          <w:numId w:val="10"/>
        </w:numPr>
        <w:spacing w:line="276" w:lineRule="auto"/>
        <w:ind w:left="567"/>
        <w:contextualSpacing/>
        <w:jc w:val="both"/>
        <w:rPr>
          <w:rFonts w:eastAsia="Calibri"/>
          <w:kern w:val="24"/>
        </w:rPr>
      </w:pPr>
      <w:r w:rsidRPr="00EE2DE7">
        <w:rPr>
          <w:rFonts w:eastAsia="Tw Cen MT"/>
          <w:b/>
          <w:kern w:val="24"/>
        </w:rPr>
        <w:t>Përshkrimin e procedurës</w:t>
      </w:r>
      <w:r w:rsidRPr="00EE2DE7">
        <w:rPr>
          <w:rFonts w:eastAsia="Tw Cen MT"/>
          <w:kern w:val="24"/>
        </w:rPr>
        <w:t>. Qëllimi i këtij komponenti ishte për të parë nëse procedura e ndjekur në praktikë ishte e njëjta me atë që kandidatët kishin mësuar gjatë formimit të tyre teorik. Nga konstatimet e tyre, ata vunë re ndryshime të mundshme ndërmjet teorisë dhe praktikës.</w:t>
      </w:r>
    </w:p>
    <w:p w:rsidR="00F74D7F" w:rsidRPr="00EE2DE7" w:rsidRDefault="00F74D7F" w:rsidP="005C2687">
      <w:pPr>
        <w:numPr>
          <w:ilvl w:val="0"/>
          <w:numId w:val="10"/>
        </w:numPr>
        <w:spacing w:line="276" w:lineRule="auto"/>
        <w:ind w:left="567"/>
        <w:contextualSpacing/>
        <w:jc w:val="both"/>
        <w:rPr>
          <w:rFonts w:eastAsia="Tw Cen MT"/>
          <w:kern w:val="24"/>
        </w:rPr>
      </w:pPr>
      <w:r w:rsidRPr="00EE2DE7">
        <w:rPr>
          <w:rFonts w:eastAsia="Tw Cen MT"/>
          <w:b/>
          <w:kern w:val="24"/>
        </w:rPr>
        <w:t>Identifikimin dhe diskutimin e dy instituteve ligjore që u hasën gjatë gjykimit</w:t>
      </w:r>
      <w:r w:rsidRPr="00EE2DE7">
        <w:rPr>
          <w:rFonts w:eastAsia="Tw Cen MT"/>
          <w:kern w:val="24"/>
        </w:rPr>
        <w:t xml:space="preserve">. Çdo gjykim përmbajti një sërë institutesh, materiale apo procedurale. Për shembull, gjykimi në mungesë në gjyqin penal, aksesi në mbrojtësin ligjor, njoftimi etj., (procedurë) ose tentativa, neglizhenca, dashja etj., (ligji material). Kandidatët identifikuan dy (rekomandohet dy për të pasur një produkt sa më konciz) institute, materiale apo procedurale, që ata vunë re gjatë gjykimit të çështjes. Mandej, kandidatët sqaruan se në cilin kontekst u shtruan për diskutim këto institute gjatë gjykimit. Pas kësaj, kandidatët bënë një analizë të shkurtër teorike të instituteve përkatëse. Analiza teorike vijoi me një përshkrim të trajtimit të instituteve nga </w:t>
      </w:r>
      <w:r w:rsidRPr="00EE2DE7">
        <w:rPr>
          <w:rFonts w:eastAsia="Tw Cen MT"/>
          <w:kern w:val="24"/>
        </w:rPr>
        <w:t>gjykata. Ky komponent u mbyll me një krahasim të teorisë me praktikën. Qëllimi i këtij komponenti ishte identifikimi krahasues i teorisë me praktikën.</w:t>
      </w:r>
    </w:p>
    <w:p w:rsidR="00F74D7F" w:rsidRPr="00EE2DE7" w:rsidRDefault="00F74D7F" w:rsidP="005C2687">
      <w:pPr>
        <w:numPr>
          <w:ilvl w:val="0"/>
          <w:numId w:val="10"/>
        </w:numPr>
        <w:spacing w:line="276" w:lineRule="auto"/>
        <w:ind w:left="567"/>
        <w:contextualSpacing/>
        <w:jc w:val="both"/>
        <w:rPr>
          <w:rFonts w:eastAsia="Tw Cen MT"/>
          <w:kern w:val="24"/>
        </w:rPr>
      </w:pPr>
      <w:r w:rsidRPr="00EE2DE7">
        <w:rPr>
          <w:rFonts w:eastAsia="Tw Cen MT"/>
          <w:b/>
          <w:kern w:val="24"/>
        </w:rPr>
        <w:t>Konkluzionet,</w:t>
      </w:r>
      <w:r w:rsidRPr="00EE2DE7">
        <w:rPr>
          <w:rFonts w:eastAsia="Tw Cen MT"/>
          <w:kern w:val="24"/>
        </w:rPr>
        <w:t xml:space="preserve"> ku fokusi iu përmbajt marrëdhënies ndërmjet </w:t>
      </w:r>
      <w:r w:rsidRPr="00EE2DE7">
        <w:rPr>
          <w:rFonts w:eastAsia="Tw Cen MT"/>
          <w:i/>
          <w:kern w:val="24"/>
        </w:rPr>
        <w:t>law in the books</w:t>
      </w:r>
      <w:r w:rsidRPr="00EE2DE7">
        <w:rPr>
          <w:rFonts w:eastAsia="Tw Cen MT"/>
          <w:kern w:val="24"/>
        </w:rPr>
        <w:t xml:space="preserve"> dhe </w:t>
      </w:r>
      <w:r w:rsidRPr="00EE2DE7">
        <w:rPr>
          <w:rFonts w:eastAsia="Tw Cen MT"/>
          <w:i/>
          <w:kern w:val="24"/>
        </w:rPr>
        <w:t>law in action</w:t>
      </w:r>
      <w:r w:rsidRPr="00EE2DE7">
        <w:rPr>
          <w:rFonts w:eastAsia="Tw Cen MT"/>
          <w:kern w:val="24"/>
        </w:rPr>
        <w:t>. Gjithashtu, konkluzionet përmbajtën mendimin e kandidatëve në lidhje me ndryshimet e mundshme që ata vunë re ndërmjet praktikës dhe teorisë. Pyetje të tilla, si p.sh: përse mendoni se ka një ndryshim ndërmjet teorisë dhe praktikës, gjetën përgjigje në këtë komponent. Kjo i mundësoi kandidatët të reflektonin për atë çfarë ata mësuan në shkollë dhe çfarë panë në praktikë.</w:t>
      </w:r>
    </w:p>
    <w:p w:rsidR="00F74D7F" w:rsidRPr="00EE2DE7" w:rsidRDefault="00F74D7F" w:rsidP="00F74D7F">
      <w:pPr>
        <w:spacing w:line="276" w:lineRule="auto"/>
        <w:jc w:val="both"/>
        <w:rPr>
          <w:rFonts w:eastAsia="Tw Cen MT"/>
          <w:b/>
          <w:kern w:val="24"/>
        </w:rPr>
      </w:pPr>
    </w:p>
    <w:p w:rsidR="00F74D7F" w:rsidRPr="00EE2DE7" w:rsidRDefault="00F74D7F" w:rsidP="00F74D7F">
      <w:pPr>
        <w:spacing w:line="276" w:lineRule="auto"/>
        <w:jc w:val="both"/>
        <w:rPr>
          <w:rFonts w:eastAsia="Tw Cen MT"/>
          <w:b/>
          <w:kern w:val="24"/>
        </w:rPr>
      </w:pPr>
      <w:r w:rsidRPr="00EE2DE7">
        <w:rPr>
          <w:rFonts w:eastAsia="Tw Cen MT"/>
          <w:b/>
          <w:kern w:val="24"/>
        </w:rPr>
        <w:t>Praktika vëzhguese u krye në institucionet e mëposhtme:</w:t>
      </w:r>
    </w:p>
    <w:p w:rsidR="00F74D7F" w:rsidRDefault="00F74D7F" w:rsidP="00F74D7F">
      <w:pPr>
        <w:spacing w:line="276" w:lineRule="auto"/>
        <w:jc w:val="both"/>
        <w:rPr>
          <w:rFonts w:eastAsia="Calibri"/>
          <w:bCs/>
          <w:kern w:val="24"/>
        </w:rPr>
      </w:pPr>
      <w:r w:rsidRPr="00EE2DE7">
        <w:rPr>
          <w:rFonts w:eastAsia="Calibri"/>
          <w:kern w:val="24"/>
        </w:rPr>
        <w:t>Gjykata e shkallës së parë Tiranë, Prokuroria e Rrethit Gjyqësor Tiranë, Gjykata Administrative e shkallës së parë Tiranë, Gjykata e shkallës së parë e Krimeve të Rënda, Gjykata e Apelit Tiranë, Gjykata e Apelit për Krimet e Rënda, Gjykata e Apelit Administrativ, Gjykata e Lartë, Gjykata Kushtetuese, Prokuroria e shkallës së parë për Krimet e Rënda, Prokuroria e Apelit Tiranë, Prokuroria e Apelit për Krimet e Rënda. Gjithashtu, kandidatët për magjistratë, për t’u njohur me anën praktike edhe të institucioneve të tjera, u parashikua në Planin Mësimor dhe u realizua, në bashkëpunim me drejtuesit e institucioneve njohja me punën në një Zyrë Avokatie, Avokati i Popullit, Avokati i Shtetit, njohja e pun</w:t>
      </w:r>
      <w:r w:rsidRPr="00EE2DE7">
        <w:rPr>
          <w:rFonts w:eastAsia="Arial Unicode MS"/>
          <w:kern w:val="24"/>
        </w:rPr>
        <w:t>ë</w:t>
      </w:r>
      <w:r w:rsidRPr="00EE2DE7">
        <w:rPr>
          <w:rFonts w:eastAsia="Calibri"/>
          <w:kern w:val="24"/>
        </w:rPr>
        <w:t xml:space="preserve">s në një Qendër Ndërmjetësimi, njohja e punës në një Qendër Arbitrazhi, vizitë në Zyrën e Regjistrit Tregtar, vizitë në Zyrën e Regjistrimit të Pasurive të Paluajtshme, vizitë në një zyrë noteriale, Zyra e Përmbarimit, </w:t>
      </w:r>
      <w:r w:rsidRPr="00EE2DE7">
        <w:rPr>
          <w:rFonts w:eastAsia="Calibri"/>
          <w:bCs/>
          <w:kern w:val="24"/>
        </w:rPr>
        <w:t xml:space="preserve">Shoqata “Refleksione”, Qendra e Këshillimit për Gra dhe Vajza, Qendra për Nisma Ligjore Qytetare, Qendra e të Drejtave të Njeriut në Demokraci, </w:t>
      </w:r>
      <w:r w:rsidRPr="00EE2DE7">
        <w:rPr>
          <w:rFonts w:eastAsia="Calibri"/>
          <w:bCs/>
          <w:kern w:val="24"/>
        </w:rPr>
        <w:lastRenderedPageBreak/>
        <w:t>Strehëza për Gra dhe Vajza, Tiranë</w:t>
      </w:r>
      <w:r w:rsidRPr="00EE2DE7">
        <w:rPr>
          <w:rFonts w:eastAsia="Calibri"/>
          <w:kern w:val="24"/>
        </w:rPr>
        <w:t xml:space="preserve">, </w:t>
      </w:r>
      <w:r w:rsidRPr="00EE2DE7">
        <w:rPr>
          <w:rFonts w:eastAsia="Calibri"/>
          <w:bCs/>
          <w:kern w:val="24"/>
        </w:rPr>
        <w:t>Laboratori i kriminalistikës.</w:t>
      </w:r>
    </w:p>
    <w:p w:rsidR="00F74D7F" w:rsidRPr="001E0C44" w:rsidRDefault="00F74D7F" w:rsidP="00F74D7F">
      <w:pPr>
        <w:spacing w:line="276" w:lineRule="auto"/>
        <w:jc w:val="both"/>
        <w:rPr>
          <w:rFonts w:eastAsia="Calibri"/>
          <w:bCs/>
          <w:kern w:val="24"/>
        </w:rPr>
      </w:pPr>
    </w:p>
    <w:p w:rsidR="00F74D7F" w:rsidRPr="00554C33" w:rsidRDefault="00F74D7F" w:rsidP="00F74D7F">
      <w:pPr>
        <w:spacing w:line="276" w:lineRule="auto"/>
        <w:jc w:val="both"/>
        <w:rPr>
          <w:rFonts w:eastAsia="MS Mincho"/>
          <w:b/>
          <w:kern w:val="24"/>
        </w:rPr>
      </w:pPr>
      <w:r w:rsidRPr="00EE2DE7">
        <w:rPr>
          <w:rFonts w:eastAsia="MS Mincho"/>
          <w:b/>
          <w:kern w:val="24"/>
        </w:rPr>
        <w:t xml:space="preserve">Vlerësimi në vitin e dytë </w:t>
      </w:r>
    </w:p>
    <w:p w:rsidR="00F74D7F" w:rsidRPr="00EE2DE7" w:rsidRDefault="00F74D7F" w:rsidP="00F74D7F">
      <w:pPr>
        <w:spacing w:line="276" w:lineRule="auto"/>
        <w:jc w:val="both"/>
        <w:rPr>
          <w:rFonts w:eastAsia="MS Mincho"/>
          <w:kern w:val="24"/>
        </w:rPr>
      </w:pPr>
      <w:r w:rsidRPr="00EE2DE7">
        <w:rPr>
          <w:rFonts w:eastAsia="MS Mincho"/>
          <w:kern w:val="24"/>
        </w:rPr>
        <w:t>Në vitin e dytë, u vlerësuan në mënyrë të vazhdueshme disa komponentë:</w:t>
      </w:r>
    </w:p>
    <w:p w:rsidR="00F74D7F" w:rsidRPr="00EE2DE7" w:rsidRDefault="00F74D7F" w:rsidP="00F74D7F">
      <w:pPr>
        <w:spacing w:line="276" w:lineRule="auto"/>
        <w:jc w:val="both"/>
        <w:rPr>
          <w:rFonts w:eastAsia="MS Mincho"/>
          <w:kern w:val="24"/>
        </w:rPr>
      </w:pPr>
    </w:p>
    <w:p w:rsidR="00F74D7F" w:rsidRPr="00EE2DE7" w:rsidRDefault="00F74D7F" w:rsidP="005C2687">
      <w:pPr>
        <w:numPr>
          <w:ilvl w:val="2"/>
          <w:numId w:val="11"/>
        </w:numPr>
        <w:tabs>
          <w:tab w:val="num" w:pos="426"/>
        </w:tabs>
        <w:spacing w:line="276" w:lineRule="auto"/>
        <w:ind w:left="426" w:hanging="426"/>
        <w:jc w:val="both"/>
        <w:rPr>
          <w:rFonts w:eastAsia="Tw Cen MT"/>
          <w:b/>
          <w:kern w:val="24"/>
        </w:rPr>
      </w:pPr>
      <w:r w:rsidRPr="00EE2DE7">
        <w:rPr>
          <w:rFonts w:eastAsia="Tw Cen MT"/>
          <w:b/>
          <w:kern w:val="24"/>
        </w:rPr>
        <w:t>Pjesa teorike:</w:t>
      </w:r>
    </w:p>
    <w:p w:rsidR="00F74D7F" w:rsidRPr="00EE2DE7" w:rsidRDefault="00F74D7F" w:rsidP="00554C33">
      <w:pPr>
        <w:spacing w:line="276" w:lineRule="auto"/>
        <w:jc w:val="both"/>
        <w:rPr>
          <w:rFonts w:eastAsia="MS Mincho"/>
          <w:kern w:val="24"/>
        </w:rPr>
      </w:pPr>
      <w:r w:rsidRPr="00EE2DE7">
        <w:rPr>
          <w:rFonts w:eastAsia="MS Mincho"/>
          <w:kern w:val="24"/>
        </w:rPr>
        <w:t>Mënyra e vlerësimit të kurseve</w:t>
      </w:r>
      <w:r w:rsidRPr="00EE2DE7">
        <w:rPr>
          <w:rFonts w:eastAsia="Calibri"/>
          <w:kern w:val="24"/>
        </w:rPr>
        <w:t xml:space="preserve"> në funksion të formimit të përgjithshëm dhe kurseve praktike</w:t>
      </w:r>
      <w:r w:rsidRPr="00EE2DE7">
        <w:rPr>
          <w:rFonts w:eastAsia="MS Mincho"/>
          <w:kern w:val="24"/>
        </w:rPr>
        <w:t xml:space="preserve"> të vitit të dytë u bë me pikë në varësi të specifikës së kursit, me provim ose me forma të tjera vlerësimi.</w:t>
      </w:r>
    </w:p>
    <w:p w:rsidR="00F74D7F" w:rsidRPr="00EE2DE7" w:rsidRDefault="00F74D7F" w:rsidP="00F74D7F">
      <w:pPr>
        <w:spacing w:line="276" w:lineRule="auto"/>
        <w:jc w:val="both"/>
        <w:rPr>
          <w:rFonts w:eastAsia="MS Mincho"/>
          <w:kern w:val="24"/>
        </w:rPr>
      </w:pPr>
      <w:r w:rsidRPr="00EE2DE7">
        <w:rPr>
          <w:rFonts w:eastAsia="MS Mincho"/>
          <w:kern w:val="24"/>
        </w:rPr>
        <w:t>Rezultatet iu bashkëngjitën lëndëve të grupit të dytë dhe vlerësimit përfundimtar.</w:t>
      </w:r>
    </w:p>
    <w:p w:rsidR="00554C33" w:rsidRDefault="00F74D7F" w:rsidP="005C2687">
      <w:pPr>
        <w:pStyle w:val="ListParagraph"/>
        <w:numPr>
          <w:ilvl w:val="0"/>
          <w:numId w:val="16"/>
        </w:numPr>
        <w:spacing w:line="276" w:lineRule="auto"/>
        <w:jc w:val="both"/>
        <w:rPr>
          <w:rFonts w:eastAsia="MS Mincho"/>
          <w:kern w:val="24"/>
        </w:rPr>
      </w:pPr>
      <w:r w:rsidRPr="00554C33">
        <w:rPr>
          <w:rFonts w:eastAsia="MS Mincho"/>
          <w:kern w:val="24"/>
        </w:rPr>
        <w:t xml:space="preserve">Mënyra e vlerësimit të kurseve me formim të përgjithshëm ishte: 4 kurse me 100 pikë (koef. 1);  </w:t>
      </w:r>
    </w:p>
    <w:p w:rsidR="00F74D7F" w:rsidRPr="00554C33" w:rsidRDefault="00F74D7F" w:rsidP="005C2687">
      <w:pPr>
        <w:pStyle w:val="ListParagraph"/>
        <w:numPr>
          <w:ilvl w:val="0"/>
          <w:numId w:val="16"/>
        </w:numPr>
        <w:spacing w:line="276" w:lineRule="auto"/>
        <w:jc w:val="both"/>
        <w:rPr>
          <w:rFonts w:eastAsia="MS Mincho"/>
          <w:kern w:val="24"/>
        </w:rPr>
      </w:pPr>
      <w:r w:rsidRPr="00554C33">
        <w:rPr>
          <w:rFonts w:eastAsia="MS Mincho"/>
          <w:kern w:val="24"/>
        </w:rPr>
        <w:t xml:space="preserve">Mënyra e vlerësimit të kurseve me karakter praktik ishte: </w:t>
      </w:r>
    </w:p>
    <w:p w:rsidR="00F74D7F" w:rsidRPr="00EE2DE7" w:rsidRDefault="00F74D7F" w:rsidP="00F74D7F">
      <w:pPr>
        <w:spacing w:line="276" w:lineRule="auto"/>
        <w:jc w:val="both"/>
        <w:rPr>
          <w:rFonts w:eastAsia="MS Mincho"/>
          <w:kern w:val="24"/>
        </w:rPr>
      </w:pPr>
      <w:r w:rsidRPr="00EE2DE7">
        <w:rPr>
          <w:rFonts w:eastAsia="MS Mincho"/>
          <w:kern w:val="24"/>
        </w:rPr>
        <w:t xml:space="preserve">            2 kurse me 100 pikë (koef.</w:t>
      </w:r>
      <w:r>
        <w:rPr>
          <w:rFonts w:eastAsia="MS Mincho"/>
          <w:kern w:val="24"/>
        </w:rPr>
        <w:t xml:space="preserve"> </w:t>
      </w:r>
      <w:r w:rsidRPr="00EE2DE7">
        <w:rPr>
          <w:rFonts w:eastAsia="MS Mincho"/>
          <w:kern w:val="24"/>
        </w:rPr>
        <w:t xml:space="preserve">1) </w:t>
      </w:r>
    </w:p>
    <w:p w:rsidR="00F74D7F" w:rsidRPr="00EE2DE7" w:rsidRDefault="00F74D7F" w:rsidP="00F74D7F">
      <w:pPr>
        <w:spacing w:line="276" w:lineRule="auto"/>
        <w:jc w:val="both"/>
        <w:rPr>
          <w:rFonts w:eastAsia="MS Mincho"/>
          <w:kern w:val="24"/>
        </w:rPr>
      </w:pPr>
      <w:r w:rsidRPr="00EE2DE7">
        <w:rPr>
          <w:rFonts w:eastAsia="MS Mincho"/>
          <w:kern w:val="24"/>
        </w:rPr>
        <w:t xml:space="preserve">            1 kurs me 100 pikë (koef.</w:t>
      </w:r>
      <w:r>
        <w:rPr>
          <w:rFonts w:eastAsia="MS Mincho"/>
          <w:kern w:val="24"/>
        </w:rPr>
        <w:t xml:space="preserve"> </w:t>
      </w:r>
      <w:r w:rsidRPr="00EE2DE7">
        <w:rPr>
          <w:rFonts w:eastAsia="MS Mincho"/>
          <w:kern w:val="24"/>
        </w:rPr>
        <w:t>1.5).</w:t>
      </w:r>
    </w:p>
    <w:p w:rsidR="00F74D7F" w:rsidRPr="00EE2DE7" w:rsidRDefault="00F74D7F" w:rsidP="00F74D7F">
      <w:pPr>
        <w:spacing w:line="276" w:lineRule="auto"/>
        <w:jc w:val="both"/>
        <w:rPr>
          <w:rFonts w:eastAsia="Tw Cen MT"/>
          <w:kern w:val="24"/>
        </w:rPr>
      </w:pPr>
      <w:r w:rsidRPr="00EE2DE7">
        <w:rPr>
          <w:rFonts w:eastAsia="Tw Cen MT"/>
          <w:kern w:val="24"/>
        </w:rPr>
        <w:t>Vlerësimi i të gjithë komponentëve, të cilët mbulojnë pj</w:t>
      </w:r>
      <w:r>
        <w:rPr>
          <w:rFonts w:eastAsia="Tw Cen MT"/>
          <w:kern w:val="24"/>
        </w:rPr>
        <w:t>esën e kurseve u bë</w:t>
      </w:r>
      <w:r w:rsidRPr="00EE2DE7">
        <w:rPr>
          <w:rFonts w:eastAsia="Tw Cen MT"/>
          <w:kern w:val="24"/>
        </w:rPr>
        <w:t xml:space="preserve"> në procesverbale përfundimtare të nënshkruara nga specialistët, pedagogët dhe </w:t>
      </w:r>
      <w:r>
        <w:rPr>
          <w:rFonts w:eastAsia="Tw Cen MT"/>
          <w:kern w:val="24"/>
        </w:rPr>
        <w:t>D</w:t>
      </w:r>
      <w:r w:rsidRPr="00EE2DE7">
        <w:rPr>
          <w:rFonts w:eastAsia="Tw Cen MT"/>
          <w:kern w:val="24"/>
        </w:rPr>
        <w:t>rejtori</w:t>
      </w:r>
      <w:r>
        <w:rPr>
          <w:rFonts w:eastAsia="Tw Cen MT"/>
          <w:kern w:val="24"/>
        </w:rPr>
        <w:t>. N</w:t>
      </w:r>
      <w:r w:rsidRPr="00EE2DE7">
        <w:rPr>
          <w:rFonts w:eastAsia="Tw Cen MT"/>
          <w:kern w:val="24"/>
        </w:rPr>
        <w:t xml:space="preserve">ë total ishte 750 pikë. </w:t>
      </w:r>
    </w:p>
    <w:p w:rsidR="00F74D7F" w:rsidRPr="00EE2DE7" w:rsidRDefault="00F74D7F" w:rsidP="00F74D7F">
      <w:pPr>
        <w:spacing w:line="276" w:lineRule="auto"/>
        <w:jc w:val="both"/>
        <w:rPr>
          <w:rFonts w:eastAsia="MS Mincho"/>
          <w:kern w:val="24"/>
        </w:rPr>
      </w:pPr>
    </w:p>
    <w:p w:rsidR="00F74D7F" w:rsidRPr="00EE2DE7" w:rsidRDefault="00F74D7F" w:rsidP="005C2687">
      <w:pPr>
        <w:numPr>
          <w:ilvl w:val="1"/>
          <w:numId w:val="11"/>
        </w:numPr>
        <w:tabs>
          <w:tab w:val="num" w:pos="426"/>
        </w:tabs>
        <w:spacing w:line="276" w:lineRule="auto"/>
        <w:ind w:left="426" w:hanging="426"/>
        <w:jc w:val="both"/>
        <w:rPr>
          <w:rFonts w:eastAsia="Tw Cen MT"/>
          <w:b/>
          <w:kern w:val="24"/>
        </w:rPr>
      </w:pPr>
      <w:r w:rsidRPr="00EE2DE7">
        <w:rPr>
          <w:rFonts w:eastAsia="Tw Cen MT"/>
          <w:b/>
          <w:kern w:val="24"/>
        </w:rPr>
        <w:t>Pjesa praktike:</w:t>
      </w:r>
    </w:p>
    <w:p w:rsidR="00F74D7F" w:rsidRPr="00EE2DE7" w:rsidRDefault="00F74D7F" w:rsidP="00554C33">
      <w:pPr>
        <w:spacing w:line="276" w:lineRule="auto"/>
        <w:jc w:val="both"/>
        <w:rPr>
          <w:rFonts w:eastAsia="MS Mincho"/>
          <w:kern w:val="24"/>
        </w:rPr>
      </w:pPr>
      <w:r w:rsidRPr="00EE2DE7">
        <w:rPr>
          <w:rFonts w:eastAsia="MS Mincho"/>
          <w:kern w:val="24"/>
        </w:rPr>
        <w:t xml:space="preserve">Mënyrat që u zbatuan për vlerësimin e kurseve që u realizuan përmes diskutimit të çështjeve gjyqësore: </w:t>
      </w:r>
    </w:p>
    <w:p w:rsidR="00F74D7F" w:rsidRPr="00EE2DE7" w:rsidRDefault="00F74D7F" w:rsidP="00F74D7F">
      <w:pPr>
        <w:spacing w:line="276" w:lineRule="auto"/>
        <w:ind w:firstLine="720"/>
        <w:jc w:val="both"/>
        <w:rPr>
          <w:rFonts w:eastAsia="Tw Cen MT"/>
          <w:kern w:val="24"/>
        </w:rPr>
      </w:pPr>
      <w:r w:rsidRPr="00EE2DE7">
        <w:rPr>
          <w:rFonts w:eastAsia="MS Mincho"/>
          <w:b/>
          <w:kern w:val="24"/>
        </w:rPr>
        <w:t>a)</w:t>
      </w:r>
      <w:r w:rsidRPr="00EE2DE7">
        <w:rPr>
          <w:rFonts w:eastAsia="MS Mincho"/>
          <w:kern w:val="24"/>
        </w:rPr>
        <w:t xml:space="preserve"> </w:t>
      </w:r>
      <w:r w:rsidRPr="00EE2DE7">
        <w:rPr>
          <w:rFonts w:eastAsia="MS Mincho"/>
          <w:b/>
          <w:kern w:val="24"/>
        </w:rPr>
        <w:t>Mënyra e vlerësimit të gjyqeve imituese</w:t>
      </w:r>
    </w:p>
    <w:p w:rsidR="00F74D7F" w:rsidRPr="00EE2DE7" w:rsidRDefault="00F74D7F" w:rsidP="00554C33">
      <w:pPr>
        <w:spacing w:line="276" w:lineRule="auto"/>
        <w:jc w:val="both"/>
        <w:rPr>
          <w:rFonts w:eastAsia="Tw Cen MT"/>
          <w:kern w:val="24"/>
        </w:rPr>
      </w:pPr>
      <w:r w:rsidRPr="00EE2DE7">
        <w:rPr>
          <w:rFonts w:eastAsia="Tw Cen MT"/>
          <w:kern w:val="24"/>
        </w:rPr>
        <w:t xml:space="preserve">Realizimi i gjyqeve imituese gjatë vitit dhe vlerësimi, </w:t>
      </w:r>
      <w:r w:rsidRPr="00EE2DE7">
        <w:rPr>
          <w:rFonts w:eastAsia="Calibri"/>
          <w:kern w:val="24"/>
        </w:rPr>
        <w:t xml:space="preserve">u bë nga pedagogët përgjegjës. U vlerësuan me </w:t>
      </w:r>
      <w:r w:rsidRPr="00EE2DE7">
        <w:rPr>
          <w:rFonts w:eastAsia="Tw Cen MT"/>
          <w:kern w:val="24"/>
        </w:rPr>
        <w:t>100 pik</w:t>
      </w:r>
      <w:r>
        <w:rPr>
          <w:rFonts w:eastAsia="Tw Cen MT"/>
          <w:kern w:val="24"/>
        </w:rPr>
        <w:t xml:space="preserve">ë me koeficient vështirësie 1.5. </w:t>
      </w:r>
    </w:p>
    <w:p w:rsidR="00F74D7F" w:rsidRPr="00EE2DE7" w:rsidRDefault="00F74D7F" w:rsidP="00F74D7F">
      <w:pPr>
        <w:spacing w:line="276" w:lineRule="auto"/>
        <w:ind w:firstLine="720"/>
        <w:jc w:val="both"/>
        <w:rPr>
          <w:rFonts w:eastAsia="Tw Cen MT"/>
          <w:kern w:val="24"/>
        </w:rPr>
      </w:pPr>
      <w:r w:rsidRPr="00EE2DE7">
        <w:rPr>
          <w:rFonts w:eastAsia="MS Mincho"/>
          <w:b/>
          <w:kern w:val="24"/>
        </w:rPr>
        <w:t>b)</w:t>
      </w:r>
      <w:r w:rsidRPr="00EE2DE7">
        <w:rPr>
          <w:rFonts w:eastAsia="MS Mincho"/>
          <w:kern w:val="24"/>
        </w:rPr>
        <w:t xml:space="preserve"> </w:t>
      </w:r>
      <w:r w:rsidRPr="00EE2DE7">
        <w:rPr>
          <w:rFonts w:eastAsia="MS Mincho"/>
          <w:b/>
          <w:kern w:val="24"/>
        </w:rPr>
        <w:t>Mënyra e vlerësimit të praktikës në institucione të ndryshme (</w:t>
      </w:r>
      <w:r>
        <w:rPr>
          <w:rFonts w:eastAsia="MS Mincho"/>
          <w:b/>
          <w:kern w:val="24"/>
        </w:rPr>
        <w:t>g</w:t>
      </w:r>
      <w:r w:rsidRPr="00EE2DE7">
        <w:rPr>
          <w:rFonts w:eastAsia="MS Mincho"/>
          <w:b/>
          <w:kern w:val="24"/>
        </w:rPr>
        <w:t xml:space="preserve">jykata dhe </w:t>
      </w:r>
      <w:r>
        <w:rPr>
          <w:rFonts w:eastAsia="MS Mincho"/>
          <w:b/>
          <w:kern w:val="24"/>
        </w:rPr>
        <w:t>p</w:t>
      </w:r>
      <w:r w:rsidRPr="00EE2DE7">
        <w:rPr>
          <w:rFonts w:eastAsia="MS Mincho"/>
          <w:b/>
          <w:kern w:val="24"/>
        </w:rPr>
        <w:t>rokurori):</w:t>
      </w:r>
    </w:p>
    <w:p w:rsidR="00F74D7F" w:rsidRPr="00EE2DE7" w:rsidRDefault="00F74D7F" w:rsidP="00554C33">
      <w:pPr>
        <w:spacing w:line="276" w:lineRule="auto"/>
        <w:jc w:val="both"/>
        <w:rPr>
          <w:rFonts w:eastAsia="Tw Cen MT"/>
          <w:kern w:val="24"/>
        </w:rPr>
      </w:pPr>
      <w:r w:rsidRPr="00EE2DE7">
        <w:rPr>
          <w:rFonts w:eastAsia="Calibri"/>
          <w:kern w:val="24"/>
        </w:rPr>
        <w:t xml:space="preserve">Vlerësimi i praktikës u bë nga pedagogët përgjegjës, pas marrjes së vlerësimit nga </w:t>
      </w:r>
      <w:r w:rsidRPr="00EE2DE7">
        <w:rPr>
          <w:rFonts w:eastAsia="Calibri"/>
          <w:kern w:val="24"/>
        </w:rPr>
        <w:t xml:space="preserve">udhëheqësit e stazhit paraprofesional. </w:t>
      </w:r>
      <w:r w:rsidRPr="00EE2DE7">
        <w:rPr>
          <w:rFonts w:eastAsia="Tw Cen MT"/>
          <w:kern w:val="24"/>
        </w:rPr>
        <w:t xml:space="preserve">Praktika në institucionet e </w:t>
      </w:r>
      <w:r>
        <w:rPr>
          <w:rFonts w:eastAsia="Tw Cen MT"/>
          <w:kern w:val="24"/>
        </w:rPr>
        <w:t>g</w:t>
      </w:r>
      <w:r w:rsidRPr="00EE2DE7">
        <w:rPr>
          <w:rFonts w:eastAsia="Tw Cen MT"/>
          <w:kern w:val="24"/>
        </w:rPr>
        <w:t xml:space="preserve">jyqësorit dhe prokurori u vlerësua me 100 pikë në total me koeficient vështirësie </w:t>
      </w:r>
      <w:r>
        <w:rPr>
          <w:rFonts w:eastAsia="Tw Cen MT"/>
          <w:kern w:val="24"/>
        </w:rPr>
        <w:t xml:space="preserve">1.5. </w:t>
      </w:r>
    </w:p>
    <w:p w:rsidR="00F74D7F" w:rsidRPr="00EE2DE7" w:rsidRDefault="00F74D7F" w:rsidP="00F74D7F">
      <w:pPr>
        <w:spacing w:line="276" w:lineRule="auto"/>
        <w:ind w:firstLine="720"/>
        <w:jc w:val="both"/>
        <w:rPr>
          <w:rFonts w:eastAsia="MS Mincho"/>
          <w:kern w:val="24"/>
        </w:rPr>
      </w:pPr>
      <w:r w:rsidRPr="00EE2DE7">
        <w:rPr>
          <w:rFonts w:eastAsia="Tw Cen MT"/>
          <w:b/>
          <w:kern w:val="24"/>
        </w:rPr>
        <w:t xml:space="preserve">c) </w:t>
      </w:r>
      <w:r w:rsidRPr="00EE2DE7">
        <w:rPr>
          <w:rFonts w:eastAsia="MS Mincho"/>
          <w:b/>
          <w:kern w:val="24"/>
        </w:rPr>
        <w:t>Mënyra e vlerësimit të praktikës dhe diskutimeve të çështjeve në sesionet interaktive</w:t>
      </w:r>
      <w:r w:rsidRPr="00EE2DE7">
        <w:rPr>
          <w:rFonts w:eastAsia="Calibri"/>
          <w:b/>
          <w:kern w:val="24"/>
        </w:rPr>
        <w:t xml:space="preserve"> </w:t>
      </w:r>
      <w:r w:rsidRPr="00EE2DE7">
        <w:rPr>
          <w:rFonts w:eastAsia="MS Mincho"/>
          <w:b/>
          <w:kern w:val="24"/>
        </w:rPr>
        <w:t>në auditor:</w:t>
      </w:r>
      <w:r w:rsidRPr="00EE2DE7">
        <w:rPr>
          <w:rFonts w:eastAsia="MS Mincho"/>
          <w:kern w:val="24"/>
        </w:rPr>
        <w:t xml:space="preserve"> </w:t>
      </w:r>
    </w:p>
    <w:p w:rsidR="00F74D7F" w:rsidRPr="00EE2DE7" w:rsidRDefault="00F74D7F" w:rsidP="00554C33">
      <w:pPr>
        <w:spacing w:line="276" w:lineRule="auto"/>
        <w:jc w:val="both"/>
        <w:rPr>
          <w:rFonts w:eastAsia="Tw Cen MT"/>
          <w:kern w:val="24"/>
        </w:rPr>
      </w:pPr>
      <w:r w:rsidRPr="00EE2DE7">
        <w:rPr>
          <w:rFonts w:eastAsia="MS Mincho"/>
          <w:kern w:val="24"/>
        </w:rPr>
        <w:t xml:space="preserve">Vlerësimi u </w:t>
      </w:r>
      <w:r w:rsidRPr="00EE2DE7">
        <w:rPr>
          <w:rFonts w:eastAsia="Calibri"/>
          <w:kern w:val="24"/>
        </w:rPr>
        <w:t>bë nga pedagogët përgjegjës</w:t>
      </w:r>
      <w:r w:rsidRPr="00EE2DE7">
        <w:rPr>
          <w:rFonts w:eastAsia="MS Mincho"/>
          <w:kern w:val="24"/>
        </w:rPr>
        <w:t xml:space="preserve"> përmes raporteve, debateve dhe diskutimeve të çështjeve në sesionet interaktive,</w:t>
      </w:r>
      <w:r w:rsidRPr="00EE2DE7">
        <w:rPr>
          <w:rFonts w:eastAsia="Calibri"/>
          <w:kern w:val="24"/>
        </w:rPr>
        <w:t xml:space="preserve"> të cilat</w:t>
      </w:r>
      <w:r w:rsidRPr="00EE2DE7">
        <w:rPr>
          <w:rFonts w:eastAsia="MS Mincho"/>
          <w:kern w:val="24"/>
        </w:rPr>
        <w:t xml:space="preserve"> u zhvilluan për çdo lëndë. Vlerësimi përfundimtar ishte me 100 pikë totali me koeficient vështirësie 1.5.</w:t>
      </w:r>
    </w:p>
    <w:p w:rsidR="006B66AB" w:rsidRDefault="00F74D7F" w:rsidP="006B66AB">
      <w:pPr>
        <w:spacing w:line="276" w:lineRule="auto"/>
        <w:jc w:val="both"/>
        <w:rPr>
          <w:rFonts w:eastAsia="Tw Cen MT"/>
          <w:kern w:val="24"/>
        </w:rPr>
      </w:pPr>
      <w:r w:rsidRPr="00EE2DE7">
        <w:rPr>
          <w:rFonts w:eastAsia="Tw Cen MT"/>
          <w:kern w:val="24"/>
        </w:rPr>
        <w:t xml:space="preserve">Vlerësimi i të gjithë komponentëve të cilët mbulojnë pjesën e praktikës u bë në një procesverbal përfundimtar të nënshkruar nga pedagogët e brendshëm, të ngarkuar me drejtimin e praktikës së vitit të dytë dhe në total ishte 450 pikë. </w:t>
      </w:r>
    </w:p>
    <w:p w:rsidR="004E231A" w:rsidRDefault="004E231A" w:rsidP="006B66AB">
      <w:pPr>
        <w:spacing w:line="276" w:lineRule="auto"/>
        <w:jc w:val="both"/>
        <w:rPr>
          <w:rFonts w:eastAsia="Tw Cen MT"/>
          <w:kern w:val="24"/>
        </w:rPr>
      </w:pPr>
    </w:p>
    <w:p w:rsidR="00F74D7F" w:rsidRDefault="00E751F9" w:rsidP="00E751F9">
      <w:pPr>
        <w:spacing w:line="276" w:lineRule="auto"/>
        <w:jc w:val="both"/>
        <w:rPr>
          <w:rFonts w:eastAsia="Tw Cen MT"/>
          <w:b/>
          <w:kern w:val="24"/>
        </w:rPr>
      </w:pPr>
      <w:r>
        <w:rPr>
          <w:rFonts w:eastAsia="Tw Cen MT"/>
          <w:b/>
          <w:kern w:val="24"/>
        </w:rPr>
        <w:t>3.</w:t>
      </w:r>
      <w:r w:rsidRPr="00E751F9">
        <w:rPr>
          <w:rFonts w:eastAsia="Tw Cen MT"/>
          <w:b/>
          <w:kern w:val="24"/>
        </w:rPr>
        <w:t>T</w:t>
      </w:r>
      <w:r w:rsidR="00F74D7F" w:rsidRPr="00E751F9">
        <w:rPr>
          <w:rFonts w:eastAsia="Tw Cen MT"/>
          <w:b/>
          <w:kern w:val="24"/>
        </w:rPr>
        <w:t>ema</w:t>
      </w:r>
      <w:r w:rsidR="004E231A">
        <w:rPr>
          <w:rFonts w:eastAsia="Tw Cen MT"/>
          <w:b/>
          <w:kern w:val="24"/>
        </w:rPr>
        <w:t>:</w:t>
      </w:r>
    </w:p>
    <w:p w:rsidR="00F74D7F" w:rsidRPr="001E0C44" w:rsidRDefault="00F74D7F" w:rsidP="006B66AB">
      <w:pPr>
        <w:spacing w:line="276" w:lineRule="auto"/>
        <w:jc w:val="both"/>
        <w:rPr>
          <w:rFonts w:eastAsia="MS Mincho"/>
          <w:b/>
          <w:kern w:val="24"/>
        </w:rPr>
      </w:pPr>
      <w:r w:rsidRPr="001E0C44">
        <w:rPr>
          <w:rFonts w:eastAsia="MS Mincho"/>
          <w:b/>
          <w:kern w:val="24"/>
        </w:rPr>
        <w:t>Mënyra e vlerësimit të temës</w:t>
      </w:r>
    </w:p>
    <w:p w:rsidR="00F74D7F" w:rsidRPr="00EE2DE7" w:rsidRDefault="00F74D7F" w:rsidP="006B66AB">
      <w:pPr>
        <w:spacing w:line="276" w:lineRule="auto"/>
        <w:jc w:val="both"/>
        <w:rPr>
          <w:rFonts w:eastAsia="MS Mincho"/>
          <w:kern w:val="24"/>
        </w:rPr>
      </w:pPr>
      <w:r w:rsidRPr="00EE2DE7">
        <w:rPr>
          <w:rFonts w:eastAsia="MS Mincho"/>
          <w:kern w:val="24"/>
        </w:rPr>
        <w:t>Tema u miratua nga Drejtoria e Shkollës në fillim të vitit akademik. Ajo u përgatit nën udhëheqjen e Shkollës së Magjistraturës, e cila zgjodhi një drejtues me eksperiencë praktike e shkencore. Mbrojtja e temës u bë para një jurie të përbërë si rregull nga pesë pedagogët e brendshëm me urdhër të brendshëm të Drejtorit të Shkollës për caktimin e anëtarëve të komisionit të mbrojtjes së temave. Vlerësimi maksimal për çdo temë është 100 pikë me koeficient vështirësie 2.</w:t>
      </w:r>
    </w:p>
    <w:p w:rsidR="00F74D7F" w:rsidRPr="00EE2DE7" w:rsidRDefault="00F74D7F" w:rsidP="00F74D7F">
      <w:pPr>
        <w:spacing w:line="276" w:lineRule="auto"/>
        <w:jc w:val="both"/>
        <w:rPr>
          <w:rFonts w:eastAsia="MS Mincho"/>
          <w:kern w:val="24"/>
        </w:rPr>
      </w:pPr>
    </w:p>
    <w:p w:rsidR="00F74D7F" w:rsidRPr="004E231A" w:rsidRDefault="004E231A" w:rsidP="004E231A">
      <w:pPr>
        <w:spacing w:line="276" w:lineRule="auto"/>
        <w:jc w:val="both"/>
        <w:rPr>
          <w:rFonts w:eastAsia="MS Mincho"/>
          <w:b/>
          <w:kern w:val="24"/>
        </w:rPr>
      </w:pPr>
      <w:r>
        <w:rPr>
          <w:rFonts w:eastAsia="MS Mincho"/>
          <w:b/>
          <w:kern w:val="24"/>
        </w:rPr>
        <w:t>4.</w:t>
      </w:r>
      <w:r w:rsidR="00F74D7F" w:rsidRPr="004E231A">
        <w:rPr>
          <w:rFonts w:eastAsia="MS Mincho"/>
          <w:b/>
          <w:kern w:val="24"/>
        </w:rPr>
        <w:t xml:space="preserve"> Provimi përfundimtar: </w:t>
      </w:r>
    </w:p>
    <w:p w:rsidR="00F74D7F" w:rsidRPr="00EE2DE7" w:rsidRDefault="00F74D7F" w:rsidP="00F74D7F">
      <w:pPr>
        <w:spacing w:line="276" w:lineRule="auto"/>
        <w:jc w:val="both"/>
        <w:rPr>
          <w:rFonts w:eastAsia="MS Mincho"/>
          <w:b/>
          <w:kern w:val="24"/>
        </w:rPr>
      </w:pPr>
      <w:r w:rsidRPr="00EE2DE7">
        <w:rPr>
          <w:rFonts w:eastAsia="MS Mincho"/>
          <w:kern w:val="24"/>
        </w:rPr>
        <w:t>Për herë të parë për vitin akademik 2017-2018 në vitin e dytë u zhvillua provimi përfundimtar.</w:t>
      </w:r>
    </w:p>
    <w:p w:rsidR="00F74D7F" w:rsidRPr="000D0363" w:rsidRDefault="00F74D7F" w:rsidP="005C2687">
      <w:pPr>
        <w:pStyle w:val="ListParagraph"/>
        <w:numPr>
          <w:ilvl w:val="0"/>
          <w:numId w:val="15"/>
        </w:numPr>
        <w:tabs>
          <w:tab w:val="left" w:pos="720"/>
        </w:tabs>
        <w:autoSpaceDE w:val="0"/>
        <w:autoSpaceDN w:val="0"/>
        <w:adjustRightInd w:val="0"/>
        <w:spacing w:line="276" w:lineRule="auto"/>
        <w:jc w:val="both"/>
      </w:pPr>
      <w:r w:rsidRPr="000D0363">
        <w:t xml:space="preserve">Provimi u zhvillua në datën 18 qershor 2018. </w:t>
      </w:r>
    </w:p>
    <w:p w:rsidR="00F74D7F" w:rsidRPr="000D0363" w:rsidRDefault="00F74D7F" w:rsidP="005C2687">
      <w:pPr>
        <w:pStyle w:val="ListParagraph"/>
        <w:numPr>
          <w:ilvl w:val="0"/>
          <w:numId w:val="15"/>
        </w:numPr>
        <w:tabs>
          <w:tab w:val="left" w:pos="720"/>
        </w:tabs>
        <w:autoSpaceDE w:val="0"/>
        <w:autoSpaceDN w:val="0"/>
        <w:adjustRightInd w:val="0"/>
        <w:spacing w:line="276" w:lineRule="auto"/>
        <w:jc w:val="both"/>
      </w:pPr>
      <w:r w:rsidRPr="000D0363">
        <w:t xml:space="preserve">Provimi u zhvillua me shkrim. Teza ishte e ndërtuar me katër raste praktike nga fushat e mëposhtme: </w:t>
      </w:r>
    </w:p>
    <w:p w:rsidR="00F74D7F" w:rsidRPr="00EE2DE7" w:rsidRDefault="00F74D7F" w:rsidP="00F74D7F">
      <w:pPr>
        <w:autoSpaceDE w:val="0"/>
        <w:autoSpaceDN w:val="0"/>
        <w:adjustRightInd w:val="0"/>
        <w:spacing w:line="276" w:lineRule="auto"/>
        <w:ind w:firstLine="450"/>
        <w:jc w:val="both"/>
        <w:rPr>
          <w:rFonts w:eastAsia="MS Mincho"/>
        </w:rPr>
      </w:pPr>
      <w:r w:rsidRPr="00EE2DE7">
        <w:rPr>
          <w:rFonts w:eastAsia="MS Mincho"/>
        </w:rPr>
        <w:t xml:space="preserve">a) pjesa I - E drejta private (civile, familjare e punës, tregtare) dhe e drejta procedurale civile; </w:t>
      </w:r>
    </w:p>
    <w:p w:rsidR="00F74D7F" w:rsidRPr="00EE2DE7" w:rsidRDefault="00F74D7F" w:rsidP="00F74D7F">
      <w:pPr>
        <w:autoSpaceDE w:val="0"/>
        <w:autoSpaceDN w:val="0"/>
        <w:adjustRightInd w:val="0"/>
        <w:spacing w:line="276" w:lineRule="auto"/>
        <w:ind w:firstLine="450"/>
        <w:jc w:val="both"/>
        <w:rPr>
          <w:rFonts w:eastAsia="MS Mincho"/>
        </w:rPr>
      </w:pPr>
      <w:r w:rsidRPr="00EE2DE7">
        <w:rPr>
          <w:rFonts w:eastAsia="MS Mincho"/>
        </w:rPr>
        <w:lastRenderedPageBreak/>
        <w:t xml:space="preserve">b)  pjesa II - E drejta penale dhe procedurale penale; </w:t>
      </w:r>
    </w:p>
    <w:p w:rsidR="00F74D7F" w:rsidRPr="00EE2DE7" w:rsidRDefault="00F74D7F" w:rsidP="00F74D7F">
      <w:pPr>
        <w:autoSpaceDE w:val="0"/>
        <w:autoSpaceDN w:val="0"/>
        <w:adjustRightInd w:val="0"/>
        <w:spacing w:line="276" w:lineRule="auto"/>
        <w:ind w:firstLine="450"/>
        <w:jc w:val="both"/>
        <w:rPr>
          <w:rFonts w:eastAsia="MS Mincho"/>
        </w:rPr>
      </w:pPr>
      <w:r w:rsidRPr="00EE2DE7">
        <w:rPr>
          <w:rFonts w:eastAsia="MS Mincho"/>
        </w:rPr>
        <w:t xml:space="preserve">c)  pjesa III - E drejta administrative materiale dhe e drejta procedurale administrative; </w:t>
      </w:r>
    </w:p>
    <w:p w:rsidR="00F74D7F" w:rsidRPr="00EE2DE7" w:rsidRDefault="00F74D7F" w:rsidP="00F74D7F">
      <w:pPr>
        <w:autoSpaceDE w:val="0"/>
        <w:autoSpaceDN w:val="0"/>
        <w:adjustRightInd w:val="0"/>
        <w:spacing w:line="276" w:lineRule="auto"/>
        <w:ind w:firstLine="450"/>
        <w:jc w:val="both"/>
        <w:rPr>
          <w:rFonts w:eastAsia="MS Mincho"/>
        </w:rPr>
      </w:pPr>
      <w:r w:rsidRPr="00EE2DE7">
        <w:rPr>
          <w:rFonts w:eastAsia="MS Mincho"/>
        </w:rPr>
        <w:t xml:space="preserve">ç) pjesa IV - E drejta publike (kushtetuese, të drejtat e njeriut, ndërkombëtare, legjislacioni i BE-së etj.). </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Provimi përfundimtar u vlerësua nga një komision i përbërë nga katër anëtarë, nga radhët e pedagogëve të brendshëm dhe të jashtëm të Shkollës së Magjistraturës pasi Këshilli i Lartë Gjyqësor dhe Këshilli i Lartë i Prokurorisë nuk janë ngritur ende. Me vendimin nr. 15, datë 8.5.2018 u caktuan anëtarët e Komisionit të Provimit Përfundimtar të vitit të dytë akademik.</w:t>
      </w:r>
    </w:p>
    <w:p w:rsidR="00F74D7F" w:rsidRPr="000D0363" w:rsidRDefault="00F74D7F" w:rsidP="005C2687">
      <w:pPr>
        <w:pStyle w:val="ListParagraph"/>
        <w:numPr>
          <w:ilvl w:val="0"/>
          <w:numId w:val="15"/>
        </w:numPr>
        <w:spacing w:line="276" w:lineRule="auto"/>
        <w:jc w:val="both"/>
        <w:rPr>
          <w:rFonts w:eastAsia="Times New Roman"/>
        </w:rPr>
      </w:pPr>
      <w:r w:rsidRPr="000D0363">
        <w:t>Provimi përfundimtar i vitit të dytë u bë me shkrim, duke iu nënshtruar procesit të sekretimit, me qëllim ruajtjen e objektivitetit.</w:t>
      </w:r>
      <w:r w:rsidRPr="000D0363">
        <w:rPr>
          <w:rFonts w:eastAsia="Times New Roman"/>
        </w:rPr>
        <w:t xml:space="preserve"> Procedura e sekretimit ishte e njëjtë si provimi i pranimit të kandidatëve. Gjatë provimit, 25 kandidatëve iu shpërnda një zarf i vogël ku shkruan emrin, i cili u mbyll në momentin e dorëzimit të provimit. Mbyllja e tij u bë në fund e u vulos nga personi i caktuar përgjegjës. Zarfi i madh mbyllej nga kandidati me mbarimin e provimit dhe brenda tij ndodheshin 4 (katër) tezat me përgjigjet. Zarfi vulosej nga personi përgjegjës. Përmbajtja e çdo zarfi është në përgjegjësinë e kandidatit përkatës. Tezat që mungojnë në zarf vlerësohen nga Komisioni me 0 pikë. Anëtari i Komisionit që konstaton i pari mungesën e tezës në zarf e bën këtë gjë publike duke mbajtur një procesverbal të veçantë për këto mungesa, i cili nënshkruhet nga të gjithë anëtarët e komisionit. Në fund të provimit, zarfi i vogël së bashku me zarfin e madh, iu dorëzuan Drejtorit të Shkollës dhe </w:t>
      </w:r>
      <w:r w:rsidRPr="000D0363">
        <w:rPr>
          <w:rFonts w:eastAsia="Times New Roman"/>
        </w:rPr>
        <w:t xml:space="preserve">Përgjegjësit të Trajnimit Fillestar. Nga Komisioni i Provimit nuk u konstatuan raste të mungesës së tezave në zarfet e mëdha. Zarfi i vogël u depozitua në kasafortën e Drejtorisë, ndërsa zarfet e mëdhenj iu dorëzuan komisionit për vlerësim. </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Kohëzgjatja e provimit, e parashikuar në Rregulloren e Brendshme është 4 orë.</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Pas përfundimit të provimit, u bë sekretimi i zarfeve. Pas dorëzimit të fletëve të provimit, u vendos numri, si në zarfin e vogël, ashtu dhe në zarfin e madh të çdo kandidati. Komisionit të Provimit iu vu në dispozicion vetëm zarfi i madh, me numrin përkatës, i cili kishte brenda vetëm fletë me zgjidhen e provimit.</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 xml:space="preserve">Korrigjimi i provimit me shkrim u bë në një sallë të mbyllur (mjedis zyrtar) brenda godinës së Shkollës së Magjistraturës. Gjithashtu, asnjë anëtar i komisionit nuk lejohej të merrte me vete fletët e provimit. Gjatë provimit, e gjithë salla u mbikëqyr nga një komision i ngritur për këtë qëllim nga Drejtoria e Shkollës. </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Zarf</w:t>
      </w:r>
      <w:r>
        <w:rPr>
          <w:rFonts w:eastAsia="Times New Roman"/>
        </w:rPr>
        <w:t>a</w:t>
      </w:r>
      <w:r w:rsidRPr="000D0363">
        <w:rPr>
          <w:rFonts w:eastAsia="Times New Roman"/>
        </w:rPr>
        <w:t xml:space="preserve">t e mëdhenj me fletët e përgjigjeve u hapën vetëm në ditët e korrigjimit në prezencë të komisionit të korrigjimit. </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Shpallja e rezultateve në bazë të numrave të sekretimit u bë një javë më pas në datë 25 qershor. Po në këtë datë, u bë dhe hapja e zarfeve të vegjël me emrat në prani të kandidatë</w:t>
      </w:r>
      <w:r w:rsidRPr="000D0363">
        <w:t>ve p</w:t>
      </w:r>
      <w:r w:rsidRPr="000D0363">
        <w:rPr>
          <w:rFonts w:eastAsia="Times New Roman"/>
        </w:rPr>
        <w:t>ër magjistratë, në mjediset e Shkollës së Magjistraturës.</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 xml:space="preserve">Pas marrjes së rezultateve, kandidatët verifikuan përgjigjet e tyre. Fletët e provimit u panë nga kandidatët, vetëm në sallën e vënë në dispozicion nga Shkolla. Nuk u lejua fotokopjimi ose marrja e fletëve të provimit. </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 xml:space="preserve">Provimi përfundimtar, parashikuar në Planin Mësimor të vitit të dytë për vitin </w:t>
      </w:r>
      <w:r w:rsidRPr="000D0363">
        <w:rPr>
          <w:rFonts w:eastAsia="Times New Roman"/>
        </w:rPr>
        <w:lastRenderedPageBreak/>
        <w:t xml:space="preserve">akademik 2017-2018, </w:t>
      </w:r>
      <w:r w:rsidRPr="000D0363">
        <w:t xml:space="preserve"> vlerësohet me 100 pikë, me koeficient vështirësie 2.</w:t>
      </w:r>
    </w:p>
    <w:p w:rsidR="00F74D7F" w:rsidRPr="000D0363" w:rsidRDefault="00F74D7F" w:rsidP="005C2687">
      <w:pPr>
        <w:pStyle w:val="ListParagraph"/>
        <w:numPr>
          <w:ilvl w:val="0"/>
          <w:numId w:val="15"/>
        </w:numPr>
        <w:spacing w:line="276" w:lineRule="auto"/>
        <w:jc w:val="both"/>
        <w:rPr>
          <w:rFonts w:eastAsia="Times New Roman"/>
        </w:rPr>
      </w:pPr>
      <w:r w:rsidRPr="000D0363">
        <w:rPr>
          <w:rFonts w:eastAsia="Times New Roman"/>
        </w:rPr>
        <w:t xml:space="preserve">Vlerësimi total i të gjithë komponentëve në provimin përfundimtar u bë me procesverbalin e </w:t>
      </w:r>
      <w:r w:rsidRPr="000D0363">
        <w:rPr>
          <w:rFonts w:eastAsia="Times New Roman"/>
          <w:color w:val="000000"/>
        </w:rPr>
        <w:t>përgatitur dhe të nënshkruar nga Komisioni i Provimit.</w:t>
      </w:r>
    </w:p>
    <w:p w:rsidR="00F74D7F" w:rsidRPr="00EE2DE7" w:rsidRDefault="00F74D7F" w:rsidP="00F74D7F">
      <w:pPr>
        <w:spacing w:line="276" w:lineRule="auto"/>
        <w:contextualSpacing/>
        <w:jc w:val="both"/>
        <w:rPr>
          <w:rFonts w:eastAsia="Times New Roman"/>
        </w:rPr>
      </w:pPr>
    </w:p>
    <w:p w:rsidR="00F74D7F" w:rsidRPr="00EE2DE7" w:rsidRDefault="00F74D7F" w:rsidP="005C2687">
      <w:pPr>
        <w:numPr>
          <w:ilvl w:val="0"/>
          <w:numId w:val="14"/>
        </w:numPr>
        <w:spacing w:line="276" w:lineRule="auto"/>
        <w:ind w:left="284"/>
        <w:contextualSpacing/>
        <w:jc w:val="both"/>
        <w:rPr>
          <w:rFonts w:eastAsia="Times New Roman"/>
        </w:rPr>
      </w:pPr>
      <w:r w:rsidRPr="00EE2DE7">
        <w:rPr>
          <w:rFonts w:eastAsia="Times New Roman"/>
          <w:color w:val="000000"/>
        </w:rPr>
        <w:t>Vlerësimi total i të gjithë komponentëve të vitit të parë dhe të dytë u bë me procesverbalin e nënshkruar nga Këshilli Pedagogjik</w:t>
      </w:r>
      <w:r w:rsidRPr="00EE2DE7">
        <w:rPr>
          <w:rFonts w:eastAsia="Times New Roman"/>
          <w:b/>
          <w:color w:val="000000"/>
        </w:rPr>
        <w:t xml:space="preserve"> </w:t>
      </w:r>
      <w:r w:rsidRPr="00EE2DE7">
        <w:rPr>
          <w:rFonts w:eastAsia="Times New Roman"/>
          <w:color w:val="000000"/>
        </w:rPr>
        <w:t>dhe është shumatorja</w:t>
      </w:r>
      <w:r w:rsidRPr="00EE2DE7">
        <w:rPr>
          <w:rFonts w:eastAsia="Times New Roman"/>
        </w:rPr>
        <w:t xml:space="preserve"> e:</w:t>
      </w:r>
    </w:p>
    <w:p w:rsidR="00F74D7F" w:rsidRPr="00EE2DE7" w:rsidRDefault="00F74D7F" w:rsidP="005C2687">
      <w:pPr>
        <w:numPr>
          <w:ilvl w:val="0"/>
          <w:numId w:val="13"/>
        </w:numPr>
        <w:spacing w:line="276" w:lineRule="auto"/>
        <w:ind w:left="1134"/>
        <w:contextualSpacing/>
        <w:jc w:val="both"/>
        <w:rPr>
          <w:rFonts w:eastAsia="Times New Roman"/>
        </w:rPr>
      </w:pPr>
      <w:r w:rsidRPr="00EE2DE7">
        <w:rPr>
          <w:rFonts w:eastAsia="Times New Roman"/>
        </w:rPr>
        <w:t xml:space="preserve">2250 pikëve të  vitit të parë; </w:t>
      </w:r>
    </w:p>
    <w:p w:rsidR="00F74D7F" w:rsidRPr="00EE2DE7" w:rsidRDefault="00F74D7F" w:rsidP="005C2687">
      <w:pPr>
        <w:numPr>
          <w:ilvl w:val="0"/>
          <w:numId w:val="13"/>
        </w:numPr>
        <w:spacing w:line="276" w:lineRule="auto"/>
        <w:ind w:left="1134"/>
        <w:contextualSpacing/>
        <w:jc w:val="both"/>
        <w:rPr>
          <w:rFonts w:eastAsia="Times New Roman"/>
        </w:rPr>
      </w:pPr>
      <w:r w:rsidRPr="00EE2DE7">
        <w:rPr>
          <w:rFonts w:eastAsia="Times New Roman"/>
        </w:rPr>
        <w:t xml:space="preserve">1400 pikë të vitit të dytë: dhe  </w:t>
      </w:r>
    </w:p>
    <w:p w:rsidR="00F74D7F" w:rsidRPr="00EE2DE7" w:rsidRDefault="00F74D7F" w:rsidP="005C2687">
      <w:pPr>
        <w:numPr>
          <w:ilvl w:val="0"/>
          <w:numId w:val="13"/>
        </w:numPr>
        <w:spacing w:line="276" w:lineRule="auto"/>
        <w:ind w:left="1134"/>
        <w:contextualSpacing/>
        <w:jc w:val="both"/>
        <w:rPr>
          <w:rFonts w:eastAsia="Times New Roman"/>
        </w:rPr>
      </w:pPr>
      <w:r w:rsidRPr="00EE2DE7">
        <w:rPr>
          <w:rFonts w:eastAsia="Times New Roman"/>
        </w:rPr>
        <w:t xml:space="preserve">200 pikëve të provimit përfundimtar </w:t>
      </w:r>
    </w:p>
    <w:p w:rsidR="00F74D7F" w:rsidRPr="00EE2DE7" w:rsidRDefault="00F74D7F" w:rsidP="00F74D7F">
      <w:pPr>
        <w:spacing w:line="276" w:lineRule="auto"/>
        <w:jc w:val="both"/>
        <w:rPr>
          <w:rFonts w:eastAsia="Times New Roman"/>
          <w:b/>
        </w:rPr>
      </w:pPr>
    </w:p>
    <w:p w:rsidR="00F74D7F" w:rsidRPr="00EE2DE7" w:rsidRDefault="00F74D7F" w:rsidP="00F74D7F">
      <w:pPr>
        <w:spacing w:line="276" w:lineRule="auto"/>
        <w:jc w:val="both"/>
        <w:rPr>
          <w:rFonts w:eastAsia="MS Mincho"/>
          <w:b/>
          <w:kern w:val="24"/>
        </w:rPr>
      </w:pPr>
      <w:r w:rsidRPr="00EE2DE7">
        <w:rPr>
          <w:rFonts w:eastAsia="Times New Roman"/>
          <w:b/>
        </w:rPr>
        <w:t xml:space="preserve">Totali i vlerësimit të dy viteve të para është 3850 pikë. </w:t>
      </w:r>
    </w:p>
    <w:p w:rsidR="00F74D7F" w:rsidRPr="00EE2DE7" w:rsidRDefault="00F74D7F" w:rsidP="00F74D7F">
      <w:pPr>
        <w:spacing w:line="276" w:lineRule="auto"/>
        <w:jc w:val="both"/>
        <w:rPr>
          <w:rFonts w:eastAsia="Tw Cen MT"/>
          <w:kern w:val="24"/>
        </w:rPr>
      </w:pPr>
    </w:p>
    <w:p w:rsidR="00F74D7F" w:rsidRPr="007105F6" w:rsidRDefault="00F74D7F" w:rsidP="005C2687">
      <w:pPr>
        <w:numPr>
          <w:ilvl w:val="0"/>
          <w:numId w:val="12"/>
        </w:numPr>
        <w:spacing w:line="276" w:lineRule="auto"/>
        <w:ind w:left="284"/>
        <w:contextualSpacing/>
        <w:jc w:val="both"/>
        <w:rPr>
          <w:rFonts w:eastAsia="Times New Roman"/>
          <w:kern w:val="24"/>
        </w:rPr>
      </w:pPr>
      <w:r w:rsidRPr="00EE2DE7">
        <w:rPr>
          <w:rFonts w:eastAsia="Times New Roman"/>
          <w:kern w:val="24"/>
        </w:rPr>
        <w:t xml:space="preserve">Vlerësimi maksimal i të gjithë komponentëve të vitit të </w:t>
      </w:r>
      <w:r w:rsidRPr="009A01C5">
        <w:rPr>
          <w:rFonts w:eastAsia="Times New Roman"/>
          <w:kern w:val="24"/>
        </w:rPr>
        <w:t>dytë është</w:t>
      </w:r>
      <w:r w:rsidRPr="009A01C5">
        <w:rPr>
          <w:rFonts w:eastAsia="Tw Cen MT"/>
          <w:kern w:val="24"/>
        </w:rPr>
        <w:t xml:space="preserve"> 1400</w:t>
      </w:r>
      <w:r w:rsidRPr="00EE2DE7">
        <w:rPr>
          <w:rFonts w:eastAsia="Tw Cen MT"/>
          <w:kern w:val="24"/>
        </w:rPr>
        <w:t xml:space="preserve"> pikë dhe </w:t>
      </w:r>
      <w:r w:rsidRPr="00EE2DE7">
        <w:rPr>
          <w:rFonts w:eastAsia="Times New Roman"/>
          <w:kern w:val="24"/>
        </w:rPr>
        <w:t xml:space="preserve">u bë me vendim të Këshillit Pedagogjik në fund të çdo viti akademik dhe del si rezultat i mbledhjes së pikëve të pjesës teorike, pjesës praktike si dhe e provimit përfundimtar. </w:t>
      </w:r>
    </w:p>
    <w:p w:rsidR="00F74D7F" w:rsidRPr="00EE2DE7" w:rsidRDefault="00F74D7F" w:rsidP="00F74D7F">
      <w:pPr>
        <w:spacing w:line="276" w:lineRule="auto"/>
        <w:jc w:val="both"/>
        <w:rPr>
          <w:rFonts w:eastAsia="Tw Cen MT"/>
          <w:kern w:val="24"/>
        </w:rPr>
      </w:pPr>
      <w:r w:rsidRPr="00EE2DE7">
        <w:rPr>
          <w:rFonts w:eastAsia="Tw Cen MT"/>
          <w:kern w:val="24"/>
        </w:rPr>
        <w:t xml:space="preserve">Niveli “Shkëlqyeshëm”  është   100 (njëqind) pikë; </w:t>
      </w:r>
    </w:p>
    <w:p w:rsidR="00F74D7F" w:rsidRPr="00EE2DE7" w:rsidRDefault="00F74D7F" w:rsidP="00F74D7F">
      <w:pPr>
        <w:spacing w:line="276" w:lineRule="auto"/>
        <w:jc w:val="both"/>
        <w:rPr>
          <w:rFonts w:eastAsia="Tw Cen MT"/>
          <w:kern w:val="24"/>
        </w:rPr>
      </w:pPr>
      <w:r w:rsidRPr="00EE2DE7">
        <w:rPr>
          <w:rFonts w:eastAsia="Tw Cen MT"/>
          <w:kern w:val="24"/>
        </w:rPr>
        <w:t xml:space="preserve">Niveli “Shumë mirë”      është     90-99 (nëntëdhjetë deri nëntëdhjetë e nëntë) pikë; </w:t>
      </w:r>
    </w:p>
    <w:p w:rsidR="00F74D7F" w:rsidRPr="00EE2DE7" w:rsidRDefault="00F74D7F" w:rsidP="00F74D7F">
      <w:pPr>
        <w:spacing w:line="276" w:lineRule="auto"/>
        <w:jc w:val="both"/>
        <w:rPr>
          <w:rFonts w:eastAsia="Tw Cen MT"/>
          <w:kern w:val="24"/>
        </w:rPr>
      </w:pPr>
      <w:r w:rsidRPr="00EE2DE7">
        <w:rPr>
          <w:rFonts w:eastAsia="Tw Cen MT"/>
          <w:kern w:val="24"/>
        </w:rPr>
        <w:t xml:space="preserve">Niveli “Mirë”                  është     70-89 (shtatëdhjetë deri tetëdhjetë e nëntë) pikë; </w:t>
      </w:r>
    </w:p>
    <w:p w:rsidR="00F74D7F" w:rsidRPr="00EE2DE7" w:rsidRDefault="00F74D7F" w:rsidP="00F74D7F">
      <w:pPr>
        <w:spacing w:line="276" w:lineRule="auto"/>
        <w:jc w:val="both"/>
        <w:rPr>
          <w:rFonts w:eastAsia="Tw Cen MT"/>
          <w:kern w:val="24"/>
        </w:rPr>
      </w:pPr>
      <w:r w:rsidRPr="00EE2DE7">
        <w:rPr>
          <w:rFonts w:eastAsia="Tw Cen MT"/>
          <w:kern w:val="24"/>
        </w:rPr>
        <w:t xml:space="preserve">Niveli “Mjaftueshëm”     është     50-69 (pesëdhjetë deri gjashtëdhjetë e nëntë) pikë. </w:t>
      </w:r>
    </w:p>
    <w:p w:rsidR="00F74D7F" w:rsidRPr="00EE2DE7" w:rsidRDefault="00F74D7F" w:rsidP="00F74D7F">
      <w:pPr>
        <w:rPr>
          <w:rFonts w:eastAsia="Calibri"/>
          <w:kern w:val="24"/>
        </w:rPr>
      </w:pPr>
    </w:p>
    <w:p w:rsidR="00F74D7F" w:rsidRPr="00EE2DE7" w:rsidRDefault="00F74D7F" w:rsidP="00F74D7F">
      <w:pPr>
        <w:rPr>
          <w:rFonts w:ascii="Bookman Old Style" w:eastAsia="MS Mincho" w:hAnsi="Bookman Old Style"/>
          <w:b/>
          <w:lang w:eastAsia="en-GB"/>
        </w:rPr>
      </w:pPr>
      <w:r>
        <w:rPr>
          <w:rFonts w:eastAsia="MS Mincho"/>
          <w:b/>
          <w:kern w:val="24"/>
        </w:rPr>
        <w:t>5</w:t>
      </w:r>
      <w:r w:rsidRPr="00EE2DE7">
        <w:rPr>
          <w:rFonts w:eastAsia="MS Mincho"/>
          <w:b/>
          <w:kern w:val="24"/>
        </w:rPr>
        <w:t xml:space="preserve">. </w:t>
      </w:r>
      <w:r w:rsidRPr="007105F6">
        <w:rPr>
          <w:rFonts w:eastAsia="MS Mincho"/>
          <w:b/>
          <w:lang w:eastAsia="en-GB"/>
        </w:rPr>
        <w:t>Skema e vlerësimit për vitin e dytë:</w:t>
      </w:r>
      <w:r w:rsidRPr="00EE2DE7">
        <w:rPr>
          <w:rFonts w:ascii="Bookman Old Style" w:eastAsia="MS Mincho" w:hAnsi="Bookman Old Style"/>
          <w:b/>
          <w:lang w:eastAsia="en-GB"/>
        </w:rPr>
        <w:t xml:space="preserve">  </w:t>
      </w:r>
    </w:p>
    <w:p w:rsidR="00F74D7F" w:rsidRPr="00EE2DE7" w:rsidRDefault="00CF3AE0" w:rsidP="00F74D7F">
      <w:pPr>
        <w:rPr>
          <w:rFonts w:eastAsia="MS Mincho" w:cs="Arial"/>
          <w:sz w:val="26"/>
          <w:szCs w:val="26"/>
          <w:lang w:eastAsia="en-GB"/>
        </w:rPr>
      </w:pPr>
      <w:r>
        <w:rPr>
          <w:rFonts w:ascii="Calibri" w:eastAsia="Calibri" w:hAnsi="Calibri"/>
        </w:rPr>
        <w:pict>
          <v:shape id="Straight Arrow Connector 12" o:spid="_x0000_s1058" type="#_x0000_t32" style="position:absolute;margin-left:70.8pt;margin-top:22.5pt;width:17.25pt;height:0;flip:y;z-index:25172224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"/>
        </w:pict>
      </w:r>
      <w:r>
        <w:rPr>
          <w:rFonts w:ascii="Calibri" w:eastAsia="Calibri" w:hAnsi="Calibri"/>
        </w:rPr>
        <w:pict>
          <v:shape id="Straight Arrow Connector 13" o:spid="_x0000_s1057" type="#_x0000_t32" style="position:absolute;margin-left:24pt;margin-top:22.5pt;width:15pt;height:0;z-index:25172121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"/>
        </w:pict>
      </w:r>
      <w:r w:rsidR="00F74D7F" w:rsidRPr="00EE2DE7">
        <w:rPr>
          <w:rFonts w:eastAsia="MS Mincho" w:cs="Arial"/>
          <w:sz w:val="26"/>
          <w:szCs w:val="26"/>
          <w:lang w:eastAsia="en-GB"/>
        </w:rPr>
        <w:tab/>
      </w:r>
      <w:r w:rsidR="00F74D7F" w:rsidRPr="00EE2DE7">
        <w:rPr>
          <w:rFonts w:eastAsia="MS Mincho" w:cs="Arial"/>
          <w:sz w:val="26"/>
          <w:szCs w:val="26"/>
          <w:lang w:eastAsia="en-GB"/>
        </w:rPr>
        <w:tab/>
      </w:r>
      <w:r w:rsidR="00F74D7F" w:rsidRPr="00EE2DE7">
        <w:rPr>
          <w:rFonts w:eastAsia="MS Mincho" w:cs="Arial"/>
          <w:sz w:val="26"/>
          <w:szCs w:val="26"/>
          <w:lang w:eastAsia="en-GB"/>
        </w:rPr>
        <w:tab/>
      </w:r>
      <w:r w:rsidR="00F74D7F" w:rsidRPr="00EE2DE7">
        <w:rPr>
          <w:rFonts w:eastAsia="MS Mincho" w:cs="Arial"/>
          <w:sz w:val="26"/>
          <w:szCs w:val="26"/>
          <w:lang w:eastAsia="en-GB"/>
        </w:rPr>
        <w:tab/>
      </w:r>
      <w:r w:rsidR="00F74D7F" w:rsidRPr="00EE2DE7">
        <w:rPr>
          <w:rFonts w:eastAsia="MS Mincho" w:cs="Arial"/>
          <w:sz w:val="26"/>
          <w:szCs w:val="26"/>
          <w:lang w:eastAsia="en-GB"/>
        </w:rPr>
        <w:tab/>
      </w:r>
      <w:r w:rsidR="00F74D7F" w:rsidRPr="00EE2DE7">
        <w:rPr>
          <w:rFonts w:eastAsia="MS Mincho" w:cs="Arial"/>
          <w:sz w:val="26"/>
          <w:szCs w:val="26"/>
          <w:lang w:eastAsia="en-GB"/>
        </w:rPr>
        <w:tab/>
      </w:r>
      <w:r w:rsidR="00F74D7F" w:rsidRPr="00EE2DE7">
        <w:rPr>
          <w:rFonts w:eastAsia="MS Mincho" w:cs="Arial"/>
          <w:sz w:val="26"/>
          <w:szCs w:val="26"/>
          <w:lang w:eastAsia="en-GB"/>
        </w:rPr>
        <w:tab/>
      </w:r>
      <w:r w:rsidR="00F74D7F" w:rsidRPr="00EE2DE7">
        <w:rPr>
          <w:rFonts w:eastAsia="MS Mincho" w:cs="Arial"/>
          <w:sz w:val="26"/>
          <w:szCs w:val="26"/>
          <w:lang w:eastAsia="en-GB"/>
        </w:rPr>
        <w:tab/>
      </w:r>
      <w:r w:rsidR="00F74D7F" w:rsidRPr="00EE2DE7">
        <w:rPr>
          <w:rFonts w:eastAsia="MS Mincho" w:cs="Arial"/>
          <w:sz w:val="26"/>
          <w:szCs w:val="26"/>
          <w:lang w:eastAsia="en-GB"/>
        </w:rPr>
        <w:tab/>
        <w:t xml:space="preserve">       </w:t>
      </w:r>
      <w:r w:rsidR="00F74D7F" w:rsidRPr="00EE2DE7">
        <w:rPr>
          <w:rFonts w:eastAsia="MS Mincho" w:cs="Arial"/>
          <w:sz w:val="26"/>
          <w:szCs w:val="26"/>
          <w:lang w:eastAsia="en-GB"/>
        </w:rPr>
        <w:tab/>
      </w:r>
      <w:r w:rsidR="00F74D7F" w:rsidRPr="00EE2DE7">
        <w:rPr>
          <w:rFonts w:eastAsia="MS Mincho" w:cs="Arial"/>
          <w:sz w:val="26"/>
          <w:szCs w:val="26"/>
          <w:lang w:eastAsia="en-GB"/>
        </w:rPr>
        <w:tab/>
      </w:r>
    </w:p>
    <w:p w:rsidR="00F74D7F" w:rsidRPr="00EE2DE7" w:rsidRDefault="00CF3AE0" w:rsidP="00F74D7F">
      <w:pPr>
        <w:ind w:left="450"/>
        <w:rPr>
          <w:rFonts w:eastAsia="MS Mincho"/>
          <w:sz w:val="26"/>
          <w:szCs w:val="26"/>
          <w:lang w:eastAsia="en-GB"/>
        </w:rPr>
      </w:pPr>
      <m:oMathPara>
        <m:oMathParaPr>
          <m:jc m:val="left"/>
        </m:oMathParaPr>
        <m:oMath>
          <m:nary>
            <m:naryPr>
              <m:chr m:val="∑"/>
              <m:limLoc m:val="subSup"/>
              <m:supHide m:val="1"/>
              <m:ctrlPr>
                <w:rPr>
                  <w:rFonts w:ascii="Cambria Math" w:eastAsia="Calibri" w:hAnsi="Arial" w:cs="Arial"/>
                  <w:lang w:eastAsia="ja-JP"/>
                </w:rPr>
              </m:ctrlPr>
            </m:naryPr>
            <m:sub>
              <m:r>
                <w:rPr>
                  <w:rFonts w:ascii="Cambria Math" w:eastAsia="Calibri" w:hAnsi="Cambria Math" w:cs="Arial"/>
                  <w:lang w:eastAsia="ja-JP"/>
                </w:rPr>
                <m:t>p</m:t>
              </m:r>
            </m:sub>
            <m:sup/>
            <m:e>
              <m:r>
                <m:rPr>
                  <m:sty m:val="p"/>
                </m:rPr>
                <w:rPr>
                  <w:rFonts w:ascii="Cambria Math" w:eastAsia="Calibri" w:hAnsi="Arial" w:cs="Arial"/>
                  <w:lang w:eastAsia="ja-JP"/>
                </w:rPr>
                <m:t>=</m:t>
              </m:r>
            </m:e>
          </m:nary>
          <m:r>
            <m:rPr>
              <m:sty m:val="p"/>
            </m:rPr>
            <w:rPr>
              <w:rFonts w:ascii="Cambria Math" w:eastAsia="Calibri" w:hAnsi="Cambria Math" w:cs="Arial"/>
              <w:lang w:eastAsia="ja-JP"/>
            </w:rPr>
            <m:t>+</m:t>
          </m:r>
          <m:nary>
            <m:naryPr>
              <m:chr m:val="∑"/>
              <m:limLoc m:val="undOvr"/>
              <m:supHide m:val="1"/>
              <m:ctrlPr>
                <w:rPr>
                  <w:rFonts w:ascii="Cambria Math" w:eastAsia="Calibri" w:hAnsi="Cambria Math" w:cs="Arial"/>
                  <w:lang w:eastAsia="ja-JP"/>
                </w:rPr>
              </m:ctrlPr>
            </m:naryPr>
            <m:sub>
              <m:r>
                <w:rPr>
                  <w:rFonts w:ascii="Cambria Math" w:eastAsia="Calibri" w:hAnsi="Cambria Math" w:cs="Arial"/>
                  <w:lang w:eastAsia="ja-JP"/>
                </w:rPr>
                <m:t>VitiII</m:t>
              </m:r>
            </m:sub>
            <m:sup/>
            <m:e>
              <m:d>
                <m:dPr>
                  <m:begChr m:val="{"/>
                  <m:endChr m:val="}"/>
                  <m:ctrlPr>
                    <w:rPr>
                      <w:rFonts w:ascii="Cambria Math" w:eastAsia="Calibri" w:hAnsi="Cambria Math" w:cs="Arial"/>
                      <w:lang w:eastAsia="ja-JP"/>
                    </w:rPr>
                  </m:ctrlPr>
                </m:dPr>
                <m:e>
                  <m:d>
                    <m:dPr>
                      <m:ctrlPr>
                        <w:rPr>
                          <w:rFonts w:ascii="Cambria Math" w:eastAsia="Calibri" w:hAnsi="Arial" w:cs="Arial"/>
                        </w:rPr>
                      </m:ctrlPr>
                    </m:dPr>
                    <m:e>
                      <m:sSub>
                        <m:sSubPr>
                          <m:ctrlPr>
                            <w:rPr>
                              <w:rFonts w:ascii="Cambria Math" w:eastAsia="Calibri" w:hAnsi="Arial" w:cs="Arial"/>
                            </w:rPr>
                          </m:ctrlPr>
                        </m:sSubPr>
                        <m:e>
                          <m:r>
                            <w:rPr>
                              <w:rFonts w:ascii="Cambria Math" w:eastAsia="Calibri" w:hAnsi="Cambria Math" w:cs="Arial"/>
                            </w:rPr>
                            <m:t>x</m:t>
                          </m:r>
                        </m:e>
                        <m:sub>
                          <m:r>
                            <m:rPr>
                              <m:sty m:val="p"/>
                            </m:rPr>
                            <w:rPr>
                              <w:rFonts w:ascii="Cambria Math" w:eastAsia="Calibri" w:hAnsi="Arial" w:cs="Arial"/>
                            </w:rPr>
                            <m:t>2</m:t>
                          </m:r>
                        </m:sub>
                      </m:sSub>
                      <m:r>
                        <m:rPr>
                          <m:sty m:val="p"/>
                        </m:rPr>
                        <w:rPr>
                          <w:rFonts w:ascii="Cambria Math" w:eastAsia="Calibri" w:hAnsi="Cambria Math" w:cs="Arial"/>
                        </w:rPr>
                        <m:t>*</m:t>
                      </m:r>
                      <m:sSub>
                        <m:sSubPr>
                          <m:ctrlPr>
                            <w:rPr>
                              <w:rFonts w:ascii="Cambria Math" w:eastAsia="Calibri" w:hAnsi="Arial" w:cs="Arial"/>
                            </w:rPr>
                          </m:ctrlPr>
                        </m:sSubPr>
                        <m:e>
                          <m:r>
                            <w:rPr>
                              <w:rFonts w:ascii="Cambria Math" w:eastAsia="Calibri" w:hAnsi="Cambria Math" w:cs="Arial"/>
                            </w:rPr>
                            <m:t>f</m:t>
                          </m:r>
                        </m:e>
                        <m:sub>
                          <m:r>
                            <m:rPr>
                              <m:sty m:val="p"/>
                            </m:rPr>
                            <w:rPr>
                              <w:rFonts w:ascii="Cambria Math" w:eastAsia="Calibri" w:hAnsi="Arial" w:cs="Arial"/>
                            </w:rPr>
                            <m:t xml:space="preserve">2 </m:t>
                          </m:r>
                        </m:sub>
                      </m:sSub>
                    </m:e>
                  </m:d>
                  <m:r>
                    <m:rPr>
                      <m:sty m:val="p"/>
                    </m:rPr>
                    <w:rPr>
                      <w:rFonts w:ascii="Cambria Math" w:eastAsia="Calibri" w:hAnsi="Arial" w:cs="Arial"/>
                    </w:rPr>
                    <m:t>+</m:t>
                  </m:r>
                  <m:d>
                    <m:dPr>
                      <m:ctrlPr>
                        <w:rPr>
                          <w:rFonts w:ascii="Cambria Math" w:eastAsia="Calibri" w:hAnsi="Arial" w:cs="Arial"/>
                        </w:rPr>
                      </m:ctrlPr>
                    </m:dPr>
                    <m:e>
                      <m:sSub>
                        <m:sSubPr>
                          <m:ctrlPr>
                            <w:rPr>
                              <w:rFonts w:ascii="Cambria Math" w:eastAsia="Calibri" w:hAnsi="Arial" w:cs="Arial"/>
                            </w:rPr>
                          </m:ctrlPr>
                        </m:sSubPr>
                        <m:e>
                          <m:r>
                            <w:rPr>
                              <w:rFonts w:ascii="Cambria Math" w:eastAsia="Calibri" w:hAnsi="Cambria Math" w:cs="Arial"/>
                            </w:rPr>
                            <m:t>x</m:t>
                          </m:r>
                        </m:e>
                        <m:sub>
                          <m:r>
                            <m:rPr>
                              <m:sty m:val="p"/>
                            </m:rPr>
                            <w:rPr>
                              <w:rFonts w:ascii="Cambria Math" w:eastAsia="Calibri" w:hAnsi="Arial" w:cs="Arial"/>
                            </w:rPr>
                            <m:t>3</m:t>
                          </m:r>
                        </m:sub>
                      </m:sSub>
                      <m:r>
                        <m:rPr>
                          <m:sty m:val="p"/>
                        </m:rPr>
                        <w:rPr>
                          <w:rFonts w:ascii="Cambria Math" w:eastAsia="Calibri" w:hAnsi="Cambria Math" w:cs="Cambria Math"/>
                        </w:rPr>
                        <m:t>*</m:t>
                      </m:r>
                      <m:sSub>
                        <m:sSubPr>
                          <m:ctrlPr>
                            <w:rPr>
                              <w:rFonts w:ascii="Cambria Math" w:eastAsia="Calibri" w:hAnsi="Arial" w:cs="Arial"/>
                            </w:rPr>
                          </m:ctrlPr>
                        </m:sSubPr>
                        <m:e>
                          <m:r>
                            <w:rPr>
                              <w:rFonts w:ascii="Cambria Math" w:eastAsia="Calibri" w:hAnsi="Cambria Math" w:cs="Arial"/>
                            </w:rPr>
                            <m:t>f</m:t>
                          </m:r>
                        </m:e>
                        <m:sub>
                          <m:r>
                            <m:rPr>
                              <m:sty m:val="p"/>
                            </m:rPr>
                            <w:rPr>
                              <w:rFonts w:ascii="Cambria Math" w:eastAsia="Calibri" w:hAnsi="Arial" w:cs="Arial"/>
                            </w:rPr>
                            <m:t>1</m:t>
                          </m:r>
                        </m:sub>
                      </m:sSub>
                      <m:r>
                        <m:rPr>
                          <m:sty m:val="p"/>
                        </m:rPr>
                        <w:rPr>
                          <w:rFonts w:ascii="Cambria Math" w:eastAsia="Calibri" w:hAnsi="Arial" w:cs="Arial"/>
                        </w:rPr>
                        <m:t>)+(</m:t>
                      </m:r>
                      <m:sSub>
                        <m:sSubPr>
                          <m:ctrlPr>
                            <w:rPr>
                              <w:rFonts w:ascii="Cambria Math" w:eastAsia="Calibri" w:hAnsi="Arial" w:cs="Arial"/>
                            </w:rPr>
                          </m:ctrlPr>
                        </m:sSubPr>
                        <m:e>
                          <m:r>
                            <w:rPr>
                              <w:rFonts w:ascii="Cambria Math" w:eastAsia="Calibri" w:hAnsi="Cambria Math" w:cs="Arial"/>
                            </w:rPr>
                            <m:t>x</m:t>
                          </m:r>
                        </m:e>
                        <m:sub>
                          <m:r>
                            <m:rPr>
                              <m:sty m:val="p"/>
                            </m:rPr>
                            <w:rPr>
                              <w:rFonts w:ascii="Cambria Math" w:eastAsia="Calibri" w:hAnsi="Arial" w:cs="Arial"/>
                            </w:rPr>
                            <m:t xml:space="preserve">4  </m:t>
                          </m:r>
                        </m:sub>
                      </m:sSub>
                      <m:r>
                        <m:rPr>
                          <m:sty m:val="p"/>
                        </m:rPr>
                        <w:rPr>
                          <w:rFonts w:ascii="Cambria Math" w:eastAsia="Calibri" w:hAnsi="Cambria Math" w:cs="Cambria Math"/>
                        </w:rPr>
                        <m:t>*</m:t>
                      </m:r>
                      <m:sSub>
                        <m:sSubPr>
                          <m:ctrlPr>
                            <w:rPr>
                              <w:rFonts w:ascii="Cambria Math" w:eastAsia="Calibri" w:hAnsi="Arial" w:cs="Arial"/>
                            </w:rPr>
                          </m:ctrlPr>
                        </m:sSubPr>
                        <m:e>
                          <m:r>
                            <w:rPr>
                              <w:rFonts w:ascii="Cambria Math" w:eastAsia="Calibri" w:hAnsi="Cambria Math" w:cs="Arial"/>
                            </w:rPr>
                            <m:t>f</m:t>
                          </m:r>
                        </m:e>
                        <m:sub>
                          <m:r>
                            <m:rPr>
                              <m:sty m:val="p"/>
                            </m:rPr>
                            <w:rPr>
                              <w:rFonts w:ascii="Cambria Math" w:eastAsia="Calibri" w:hAnsi="Arial" w:cs="Arial"/>
                            </w:rPr>
                            <m:t>1</m:t>
                          </m:r>
                        </m:sub>
                      </m:sSub>
                      <m:r>
                        <m:rPr>
                          <m:sty m:val="p"/>
                        </m:rPr>
                        <w:rPr>
                          <w:rFonts w:ascii="Cambria Math" w:eastAsia="Calibri" w:hAnsi="Arial" w:cs="Arial"/>
                        </w:rPr>
                        <m:t>)+(</m:t>
                      </m:r>
                      <m:sSub>
                        <m:sSubPr>
                          <m:ctrlPr>
                            <w:rPr>
                              <w:rFonts w:ascii="Cambria Math" w:eastAsia="Calibri" w:hAnsi="Arial" w:cs="Arial"/>
                            </w:rPr>
                          </m:ctrlPr>
                        </m:sSubPr>
                        <m:e>
                          <m:r>
                            <w:rPr>
                              <w:rFonts w:ascii="Cambria Math" w:eastAsia="Calibri" w:hAnsi="Cambria Math" w:cs="Arial"/>
                            </w:rPr>
                            <m:t>x</m:t>
                          </m:r>
                        </m:e>
                        <m:sub>
                          <m:r>
                            <m:rPr>
                              <m:sty m:val="p"/>
                            </m:rPr>
                            <w:rPr>
                              <w:rFonts w:ascii="Cambria Math" w:eastAsia="Calibri" w:hAnsi="Arial" w:cs="Arial"/>
                            </w:rPr>
                            <m:t>5</m:t>
                          </m:r>
                        </m:sub>
                      </m:sSub>
                      <m:r>
                        <m:rPr>
                          <m:sty m:val="p"/>
                        </m:rPr>
                        <w:rPr>
                          <w:rFonts w:ascii="Cambria Math" w:eastAsia="Calibri" w:hAnsi="Cambria Math" w:cs="Cambria Math"/>
                        </w:rPr>
                        <m:t>*</m:t>
                      </m:r>
                      <m:sSub>
                        <m:sSubPr>
                          <m:ctrlPr>
                            <w:rPr>
                              <w:rFonts w:ascii="Cambria Math" w:eastAsia="Calibri" w:hAnsi="Arial" w:cs="Arial"/>
                            </w:rPr>
                          </m:ctrlPr>
                        </m:sSubPr>
                        <m:e>
                          <m:r>
                            <w:rPr>
                              <w:rFonts w:ascii="Cambria Math" w:eastAsia="Calibri" w:hAnsi="Cambria Math" w:cs="Arial"/>
                            </w:rPr>
                            <m:t>f</m:t>
                          </m:r>
                        </m:e>
                        <m:sub>
                          <m:r>
                            <w:rPr>
                              <w:rFonts w:ascii="Cambria Math" w:eastAsia="Calibri" w:hAnsi="Arial" w:cs="Arial"/>
                            </w:rPr>
                            <m:t>3</m:t>
                          </m:r>
                        </m:sub>
                      </m:sSub>
                      <m:r>
                        <m:rPr>
                          <m:sty m:val="p"/>
                        </m:rPr>
                        <w:rPr>
                          <w:rFonts w:ascii="Cambria Math" w:eastAsia="Calibri" w:hAnsi="Arial" w:cs="Arial"/>
                        </w:rPr>
                        <m:t>)+(</m:t>
                      </m:r>
                      <m:sSub>
                        <m:sSubPr>
                          <m:ctrlPr>
                            <w:rPr>
                              <w:rFonts w:ascii="Cambria Math" w:eastAsia="Calibri" w:hAnsi="Arial" w:cs="Arial"/>
                            </w:rPr>
                          </m:ctrlPr>
                        </m:sSubPr>
                        <m:e>
                          <m:r>
                            <w:rPr>
                              <w:rFonts w:ascii="Cambria Math" w:eastAsia="Calibri" w:hAnsi="Cambria Math" w:cs="Arial"/>
                            </w:rPr>
                            <m:t>x</m:t>
                          </m:r>
                        </m:e>
                        <m:sub>
                          <m:r>
                            <m:rPr>
                              <m:sty m:val="p"/>
                            </m:rPr>
                            <w:rPr>
                              <w:rFonts w:ascii="Cambria Math" w:eastAsia="Calibri" w:hAnsi="Arial" w:cs="Arial"/>
                            </w:rPr>
                            <m:t xml:space="preserve">6 </m:t>
                          </m:r>
                        </m:sub>
                      </m:sSub>
                      <m:r>
                        <m:rPr>
                          <m:sty m:val="p"/>
                        </m:rPr>
                        <w:rPr>
                          <w:rFonts w:ascii="Cambria Math" w:eastAsia="Calibri" w:hAnsi="Cambria Math" w:cs="Cambria Math"/>
                        </w:rPr>
                        <m:t>*</m:t>
                      </m:r>
                      <m:sSub>
                        <m:sSubPr>
                          <m:ctrlPr>
                            <w:rPr>
                              <w:rFonts w:ascii="Cambria Math" w:eastAsia="Calibri" w:hAnsi="Arial" w:cs="Arial"/>
                            </w:rPr>
                          </m:ctrlPr>
                        </m:sSubPr>
                        <m:e>
                          <m:r>
                            <w:rPr>
                              <w:rFonts w:ascii="Cambria Math" w:eastAsia="Calibri" w:hAnsi="Cambria Math" w:cs="Arial"/>
                            </w:rPr>
                            <m:t>f</m:t>
                          </m:r>
                        </m:e>
                        <m:sub>
                          <m:r>
                            <m:rPr>
                              <m:sty m:val="p"/>
                            </m:rPr>
                            <w:rPr>
                              <w:rFonts w:ascii="Cambria Math" w:eastAsia="Calibri" w:hAnsi="Arial" w:cs="Arial"/>
                            </w:rPr>
                            <m:t>1</m:t>
                          </m:r>
                        </m:sub>
                      </m:sSub>
                    </m:e>
                  </m:d>
                  <m:ctrlPr>
                    <w:rPr>
                      <w:rFonts w:ascii="Cambria Math" w:eastAsia="Calibri" w:hAnsi="Arial" w:cs="Arial"/>
                    </w:rPr>
                  </m:ctrlPr>
                </m:e>
              </m:d>
              <m:r>
                <m:rPr>
                  <m:sty m:val="p"/>
                </m:rPr>
                <w:rPr>
                  <w:rFonts w:ascii="Cambria Math" w:eastAsia="Calibri" w:hAnsi="Arial" w:cs="Arial"/>
                </w:rPr>
                <m:t>+</m:t>
              </m:r>
              <m:sSub>
                <m:sSubPr>
                  <m:ctrlPr>
                    <w:rPr>
                      <w:rFonts w:ascii="Cambria Math" w:eastAsia="Calibri" w:hAnsi="Arial" w:cs="Arial"/>
                    </w:rPr>
                  </m:ctrlPr>
                </m:sSubPr>
                <m:e>
                  <m:r>
                    <w:rPr>
                      <w:rFonts w:ascii="Cambria Math" w:eastAsia="Calibri" w:hAnsi="Cambria Math" w:cs="Arial"/>
                    </w:rPr>
                    <m:t>x</m:t>
                  </m:r>
                </m:e>
                <m:sub>
                  <m:r>
                    <m:rPr>
                      <m:sty m:val="p"/>
                    </m:rPr>
                    <w:rPr>
                      <w:rFonts w:ascii="Cambria Math" w:eastAsia="Calibri" w:hAnsi="Arial" w:cs="Arial"/>
                    </w:rPr>
                    <m:t xml:space="preserve">7 </m:t>
                  </m:r>
                </m:sub>
              </m:sSub>
              <m:r>
                <m:rPr>
                  <m:sty m:val="p"/>
                </m:rPr>
                <w:rPr>
                  <w:rFonts w:ascii="Cambria Math" w:eastAsia="Calibri" w:hAnsi="Cambria Math" w:cs="Cambria Math"/>
                </w:rPr>
                <m:t>*</m:t>
              </m:r>
              <m:sSub>
                <m:sSubPr>
                  <m:ctrlPr>
                    <w:rPr>
                      <w:rFonts w:ascii="Cambria Math" w:eastAsia="Calibri" w:hAnsi="Arial" w:cs="Arial"/>
                    </w:rPr>
                  </m:ctrlPr>
                </m:sSubPr>
                <m:e>
                  <m:r>
                    <w:rPr>
                      <w:rFonts w:ascii="Cambria Math" w:eastAsia="Calibri" w:hAnsi="Cambria Math" w:cs="Arial"/>
                    </w:rPr>
                    <m:t>f</m:t>
                  </m:r>
                </m:e>
                <m:sub>
                  <m:r>
                    <w:rPr>
                      <w:rFonts w:ascii="Cambria Math" w:eastAsia="Calibri" w:hAnsi="Arial" w:cs="Arial"/>
                    </w:rPr>
                    <m:t>3</m:t>
                  </m:r>
                </m:sub>
              </m:sSub>
            </m:e>
          </m:nary>
        </m:oMath>
      </m:oMathPara>
    </w:p>
    <w:p w:rsidR="00F74D7F" w:rsidRPr="00EE2DE7" w:rsidRDefault="00F74D7F" w:rsidP="00F74D7F">
      <w:pPr>
        <w:ind w:firstLine="720"/>
        <w:rPr>
          <w:rFonts w:eastAsia="MS Mincho" w:cs="Arial"/>
          <w:sz w:val="16"/>
          <w:szCs w:val="16"/>
          <w:vertAlign w:val="subscript"/>
          <w:lang w:eastAsia="en-GB"/>
        </w:rPr>
      </w:pPr>
    </w:p>
    <w:p w:rsidR="00F74D7F" w:rsidRPr="00EE2DE7" w:rsidRDefault="00F74D7F" w:rsidP="00F74D7F">
      <w:pPr>
        <w:spacing w:line="276" w:lineRule="auto"/>
        <w:rPr>
          <w:rFonts w:eastAsia="MS Mincho"/>
          <w:lang w:eastAsia="ja-JP"/>
        </w:rPr>
      </w:pPr>
      <w:r w:rsidRPr="00EE2DE7">
        <w:rPr>
          <w:rFonts w:eastAsia="MS Mincho"/>
          <w:lang w:eastAsia="ja-JP"/>
        </w:rPr>
        <w:t xml:space="preserve"> </w:t>
      </w:r>
      <m:oMath>
        <m:nary>
          <m:naryPr>
            <m:chr m:val="∑"/>
            <m:limLoc m:val="subSup"/>
            <m:supHide m:val="1"/>
            <m:ctrlPr>
              <w:rPr>
                <w:rFonts w:ascii="Cambria Math" w:hAnsi="Cambria Math"/>
                <w:lang w:eastAsia="ja-JP"/>
              </w:rPr>
            </m:ctrlPr>
          </m:naryPr>
          <m:sub>
            <m:r>
              <w:rPr>
                <w:rFonts w:ascii="Cambria Math" w:hAnsi="Cambria Math"/>
                <w:lang w:eastAsia="ja-JP"/>
              </w:rPr>
              <m:t>p</m:t>
            </m:r>
          </m:sub>
          <m:sup/>
          <m:e>
            <m:r>
              <m:rPr>
                <m:sty m:val="p"/>
              </m:rPr>
              <w:rPr>
                <w:rFonts w:ascii="Cambria Math" w:hAnsi="Cambria Math"/>
                <w:lang w:eastAsia="ja-JP"/>
              </w:rPr>
              <m:t>=</m:t>
            </m:r>
          </m:e>
        </m:nary>
        <m:r>
          <w:rPr>
            <w:rFonts w:ascii="Cambria Math" w:hAnsi="Cambria Math"/>
            <w:lang w:eastAsia="ja-JP"/>
          </w:rPr>
          <m:t xml:space="preserve"> S</m:t>
        </m:r>
      </m:oMath>
      <w:r w:rsidRPr="00EE2DE7">
        <w:rPr>
          <w:rFonts w:eastAsia="MS Mincho"/>
          <w:lang w:eastAsia="ja-JP"/>
        </w:rPr>
        <w:t>huma e ponderuar;</w:t>
      </w:r>
    </w:p>
    <w:p w:rsidR="00F74D7F" w:rsidRPr="00EE2DE7" w:rsidRDefault="00CF3AE0" w:rsidP="00F74D7F">
      <w:pPr>
        <w:spacing w:line="276" w:lineRule="auto"/>
        <w:rPr>
          <w:rFonts w:eastAsia="MS Mincho"/>
          <w:lang w:eastAsia="ja-JP"/>
        </w:rPr>
      </w:pPr>
      <m:oMath>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r w:rsidR="00F74D7F" w:rsidRPr="00EE2DE7">
        <w:rPr>
          <w:rFonts w:eastAsia="MS Mincho"/>
          <w:lang w:eastAsia="ja-JP"/>
        </w:rPr>
        <w:t>=   Shuma e pikëve të kurseve të vitit II;</w:t>
      </w:r>
    </w:p>
    <w:p w:rsidR="00F74D7F" w:rsidRPr="00EE2DE7" w:rsidRDefault="00CF3AE0" w:rsidP="00F74D7F">
      <w:pPr>
        <w:spacing w:line="276" w:lineRule="auto"/>
        <w:rPr>
          <w:rFonts w:eastAsia="MS Mincho"/>
          <w:lang w:eastAsia="en-GB"/>
        </w:rPr>
      </w:pPr>
      <m:oMath>
        <m:sSub>
          <m:sSubPr>
            <m:ctrlPr>
              <w:rPr>
                <w:rFonts w:ascii="Cambria Math" w:hAnsi="Cambria Math"/>
              </w:rPr>
            </m:ctrlPr>
          </m:sSubPr>
          <m:e>
            <m:r>
              <w:rPr>
                <w:rFonts w:ascii="Cambria Math" w:hAnsi="Cambria Math"/>
              </w:rPr>
              <m:t>x</m:t>
            </m:r>
          </m:e>
          <m:sub>
            <m:r>
              <m:rPr>
                <m:sty m:val="p"/>
              </m:rPr>
              <w:rPr>
                <w:rFonts w:ascii="Cambria Math" w:hAnsi="Cambria Math"/>
              </w:rPr>
              <m:t>3</m:t>
            </m:r>
          </m:sub>
        </m:sSub>
      </m:oMath>
      <w:r w:rsidR="00F74D7F" w:rsidRPr="00EE2DE7">
        <w:rPr>
          <w:rFonts w:eastAsia="MS Mincho"/>
          <w:lang w:eastAsia="en-GB"/>
        </w:rPr>
        <w:t xml:space="preserve"> =  Gjyqet imituese dhe debatet profesionale;</w:t>
      </w:r>
    </w:p>
    <w:p w:rsidR="00F74D7F" w:rsidRPr="00EE2DE7" w:rsidRDefault="00CF3AE0" w:rsidP="00F74D7F">
      <w:pPr>
        <w:spacing w:line="276" w:lineRule="auto"/>
        <w:rPr>
          <w:rFonts w:eastAsia="MS Mincho"/>
          <w:lang w:eastAsia="en-GB"/>
        </w:rPr>
      </w:pPr>
      <m:oMath>
        <m:sSub>
          <m:sSubPr>
            <m:ctrlPr>
              <w:rPr>
                <w:rFonts w:ascii="Cambria Math" w:hAnsi="Cambria Math"/>
              </w:rPr>
            </m:ctrlPr>
          </m:sSubPr>
          <m:e>
            <m:r>
              <w:rPr>
                <w:rFonts w:ascii="Cambria Math" w:hAnsi="Cambria Math"/>
              </w:rPr>
              <m:t>x</m:t>
            </m:r>
          </m:e>
          <m:sub>
            <m:r>
              <m:rPr>
                <m:sty m:val="p"/>
              </m:rPr>
              <w:rPr>
                <w:rFonts w:ascii="Cambria Math" w:hAnsi="Cambria Math"/>
              </w:rPr>
              <m:t>4</m:t>
            </m:r>
          </m:sub>
        </m:sSub>
      </m:oMath>
      <w:r w:rsidR="00F74D7F" w:rsidRPr="00EE2DE7">
        <w:rPr>
          <w:rFonts w:eastAsia="MS Mincho"/>
          <w:lang w:eastAsia="en-GB"/>
        </w:rPr>
        <w:t xml:space="preserve"> =  Vlerësimi i stazhit paraprofesional dosjet e përgatitura civile dhe penale;</w:t>
      </w:r>
    </w:p>
    <w:p w:rsidR="00F74D7F" w:rsidRPr="00EE2DE7" w:rsidRDefault="00CF3AE0" w:rsidP="00F74D7F">
      <w:pPr>
        <w:spacing w:line="276" w:lineRule="auto"/>
        <w:rPr>
          <w:rFonts w:eastAsia="MS Mincho"/>
          <w:lang w:eastAsia="en-GB"/>
        </w:rPr>
      </w:pPr>
      <m:oMath>
        <m:sSub>
          <m:sSubPr>
            <m:ctrlPr>
              <w:rPr>
                <w:rFonts w:ascii="Cambria Math" w:hAnsi="Cambria Math"/>
              </w:rPr>
            </m:ctrlPr>
          </m:sSubPr>
          <m:e>
            <m:r>
              <w:rPr>
                <w:rFonts w:ascii="Cambria Math" w:hAnsi="Cambria Math"/>
              </w:rPr>
              <m:t>x</m:t>
            </m:r>
          </m:e>
          <m:sub>
            <m:r>
              <m:rPr>
                <m:sty m:val="p"/>
              </m:rPr>
              <w:rPr>
                <w:rFonts w:ascii="Cambria Math" w:hAnsi="Cambria Math"/>
              </w:rPr>
              <m:t>5</m:t>
            </m:r>
          </m:sub>
        </m:sSub>
      </m:oMath>
      <w:r w:rsidR="00F74D7F" w:rsidRPr="00EE2DE7">
        <w:rPr>
          <w:rFonts w:eastAsia="MS Mincho"/>
          <w:lang w:eastAsia="en-GB"/>
        </w:rPr>
        <w:t>=   Vlerësim i stazhit paraprofesional në institucione;</w:t>
      </w:r>
    </w:p>
    <w:p w:rsidR="00F74D7F" w:rsidRPr="00EE2DE7" w:rsidRDefault="00CF3AE0" w:rsidP="00F74D7F">
      <w:pPr>
        <w:spacing w:line="276" w:lineRule="auto"/>
        <w:rPr>
          <w:rFonts w:eastAsia="MS Mincho"/>
          <w:lang w:eastAsia="en-GB"/>
        </w:rPr>
      </w:pPr>
      <m:oMath>
        <m:sSub>
          <m:sSubPr>
            <m:ctrlPr>
              <w:rPr>
                <w:rFonts w:ascii="Cambria Math" w:hAnsi="Cambria Math"/>
              </w:rPr>
            </m:ctrlPr>
          </m:sSubPr>
          <m:e>
            <m:r>
              <w:rPr>
                <w:rFonts w:ascii="Cambria Math" w:hAnsi="Cambria Math"/>
              </w:rPr>
              <m:t>x</m:t>
            </m:r>
          </m:e>
          <m:sub>
            <m:r>
              <m:rPr>
                <m:sty m:val="p"/>
              </m:rPr>
              <w:rPr>
                <w:rFonts w:ascii="Cambria Math" w:hAnsi="Cambria Math"/>
              </w:rPr>
              <m:t>6</m:t>
            </m:r>
          </m:sub>
        </m:sSub>
      </m:oMath>
      <w:r w:rsidR="00F74D7F" w:rsidRPr="00EE2DE7">
        <w:rPr>
          <w:rFonts w:eastAsia="MS Mincho"/>
          <w:lang w:eastAsia="en-GB"/>
        </w:rPr>
        <w:t>=   Vlerësimi i temës së vitit II;</w:t>
      </w:r>
    </w:p>
    <w:p w:rsidR="00F74D7F" w:rsidRPr="00EE2DE7" w:rsidRDefault="00CF3AE0" w:rsidP="00F74D7F">
      <w:pPr>
        <w:spacing w:line="276" w:lineRule="auto"/>
        <w:rPr>
          <w:rFonts w:eastAsia="MS Mincho" w:cs="Arial"/>
          <w:sz w:val="26"/>
          <w:szCs w:val="26"/>
          <w:lang w:eastAsia="en-GB"/>
        </w:rPr>
      </w:pPr>
      <m:oMath>
        <m:sSub>
          <m:sSubPr>
            <m:ctrlPr>
              <w:rPr>
                <w:rFonts w:ascii="Cambria Math" w:eastAsia="Calibri" w:hAnsi="Arial" w:cs="Arial"/>
              </w:rPr>
            </m:ctrlPr>
          </m:sSubPr>
          <m:e>
            <m:r>
              <w:rPr>
                <w:rFonts w:ascii="Cambria Math" w:eastAsia="Calibri" w:hAnsi="Cambria Math" w:cs="Arial"/>
              </w:rPr>
              <m:t>x</m:t>
            </m:r>
          </m:e>
          <m:sub>
            <m:r>
              <w:rPr>
                <w:rFonts w:ascii="Cambria Math" w:eastAsia="Calibri" w:hAnsi="Arial" w:cs="Arial"/>
              </w:rPr>
              <m:t>7</m:t>
            </m:r>
          </m:sub>
        </m:sSub>
        <m:r>
          <w:rPr>
            <w:rFonts w:ascii="Cambria Math" w:eastAsia="Calibri" w:hAnsi="Arial" w:cs="Arial"/>
          </w:rPr>
          <m:t xml:space="preserve">  </m:t>
        </m:r>
      </m:oMath>
      <w:r w:rsidR="00F74D7F" w:rsidRPr="00EE2DE7">
        <w:rPr>
          <w:rFonts w:eastAsia="MS Mincho" w:cs="Arial"/>
        </w:rPr>
        <w:t xml:space="preserve">=   Vlerësimi i provimit përfundimtar i vitit të dytë; </w:t>
      </w:r>
    </w:p>
    <w:p w:rsidR="00F74D7F" w:rsidRPr="00EE2DE7" w:rsidRDefault="00CF3AE0" w:rsidP="00F74D7F">
      <w:pPr>
        <w:spacing w:line="276" w:lineRule="auto"/>
        <w:rPr>
          <w:rFonts w:eastAsia="MS Mincho"/>
          <w:lang w:eastAsia="ja-JP"/>
        </w:rPr>
      </w:pPr>
      <m:oMath>
        <m:sSub>
          <m:sSubPr>
            <m:ctrlPr>
              <w:rPr>
                <w:rFonts w:ascii="Cambria Math" w:hAnsi="Cambria Math"/>
              </w:rPr>
            </m:ctrlPr>
          </m:sSubPr>
          <m:e>
            <m:r>
              <w:rPr>
                <w:rFonts w:ascii="Cambria Math" w:hAnsi="Cambria Math"/>
              </w:rPr>
              <m:t>f</m:t>
            </m:r>
          </m:e>
          <m:sub>
            <m:r>
              <m:rPr>
                <m:sty m:val="p"/>
              </m:rPr>
              <w:rPr>
                <w:rFonts w:ascii="Cambria Math" w:hAnsi="Cambria Math"/>
              </w:rPr>
              <m:t>1</m:t>
            </m:r>
          </m:sub>
        </m:sSub>
      </m:oMath>
      <w:r w:rsidR="00C057AA" w:rsidRPr="00EE2DE7">
        <w:rPr>
          <w:rFonts w:eastAsia="MS Mincho"/>
          <w:lang w:eastAsia="en-GB"/>
        </w:rPr>
        <w:fldChar w:fldCharType="begin"/>
      </w:r>
      <w:r w:rsidR="00F74D7F" w:rsidRPr="00EE2DE7">
        <w:rPr>
          <w:rFonts w:eastAsia="MS Mincho"/>
          <w:lang w:eastAsia="en-GB"/>
        </w:rPr>
        <w:instrText xml:space="preserve"> QUOTE </w:instrTex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C057AA" w:rsidRPr="00EE2DE7">
        <w:rPr>
          <w:rFonts w:eastAsia="MS Mincho"/>
          <w:lang w:eastAsia="en-GB"/>
        </w:rPr>
        <w:fldChar w:fldCharType="end"/>
      </w:r>
      <w:r w:rsidR="00F74D7F" w:rsidRPr="00EE2DE7">
        <w:rPr>
          <w:rFonts w:eastAsia="MS Mincho"/>
          <w:lang w:eastAsia="en-GB"/>
        </w:rPr>
        <w:t>=</w:t>
      </w:r>
      <w:r w:rsidR="00F74D7F" w:rsidRPr="00EE2DE7">
        <w:rPr>
          <w:rFonts w:eastAsia="MS Mincho"/>
          <w:lang w:eastAsia="ja-JP"/>
        </w:rPr>
        <w:t xml:space="preserve">    1.5 (një pikë pesë) </w:t>
      </w:r>
      <w:r w:rsidR="00F74D7F" w:rsidRPr="00EE2DE7">
        <w:rPr>
          <w:rFonts w:eastAsia="MS Mincho"/>
          <w:lang w:eastAsia="en-GB"/>
        </w:rPr>
        <w:t>koefi</w:t>
      </w:r>
      <w:r w:rsidR="00F74D7F" w:rsidRPr="00EE2DE7">
        <w:rPr>
          <w:rFonts w:eastAsia="MS Mincho"/>
          <w:lang w:eastAsia="ja-JP"/>
        </w:rPr>
        <w:t xml:space="preserve">cienti i vështirësisë  </w:t>
      </w:r>
      <w:r w:rsidR="00C057AA" w:rsidRPr="00EE2DE7">
        <w:rPr>
          <w:rFonts w:eastAsia="MS Mincho"/>
        </w:rPr>
        <w:fldChar w:fldCharType="begin"/>
      </w:r>
      <w:r w:rsidR="00F74D7F" w:rsidRPr="00EE2DE7">
        <w:rPr>
          <w:rFonts w:eastAsia="MS Mincho"/>
        </w:rPr>
        <w:instrText xml:space="preserve"> QUOTE </w:instrTex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1</m:t>
            </m:r>
          </m:sub>
        </m:sSub>
        <m:r>
          <m:rPr>
            <m:sty m:val="p"/>
          </m:rPr>
          <w:rPr>
            <w:rFonts w:ascii="Cambria Math" w:hAnsi="Cambria Math"/>
          </w:rPr>
          <m:t xml:space="preserve">),  </m:t>
        </m:r>
      </m:oMath>
      <w:r w:rsidR="00F74D7F" w:rsidRPr="00EE2DE7">
        <w:rPr>
          <w:rFonts w:eastAsia="MS Mincho"/>
        </w:rPr>
        <w:instrText xml:space="preserve"> </w:instrText>
      </w:r>
      <w:r w:rsidR="00C057AA" w:rsidRPr="00EE2DE7">
        <w:rPr>
          <w:rFonts w:eastAsia="MS Mincho"/>
        </w:rPr>
        <w:fldChar w:fldCharType="separate"/>
      </w:r>
      <w:r w:rsidR="00F74D7F" w:rsidRPr="00EE2DE7">
        <w:rPr>
          <w:rFonts w:eastAsia="MS Mincho"/>
          <w:lang w:eastAsia="ja-JP"/>
        </w:rPr>
        <w:t>(</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 xml:space="preserve"> 1 kurs ), </m:t>
        </m:r>
      </m:oMath>
      <w:r w:rsidR="00C057AA" w:rsidRPr="00EE2DE7">
        <w:rPr>
          <w:rFonts w:eastAsia="MS Mincho"/>
        </w:rPr>
        <w:fldChar w:fldCharType="end"/>
      </w:r>
      <w:r w:rsidR="00F74D7F" w:rsidRPr="00EE2DE7">
        <w:rPr>
          <w:rFonts w:eastAsia="MS Mincho"/>
        </w:rPr>
        <w:t>(</w:t>
      </w:r>
      <m:oMath>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 xml:space="preserve">4  </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rPr>
                  <m:t>5</m:t>
                </m:r>
              </m:sub>
            </m:sSub>
          </m:e>
        </m:d>
      </m:oMath>
      <w:r w:rsidR="00F74D7F" w:rsidRPr="00EE2DE7">
        <w:rPr>
          <w:rFonts w:eastAsia="MS Mincho"/>
        </w:rPr>
        <w:t>;</w:t>
      </w:r>
      <w:r w:rsidR="00F74D7F" w:rsidRPr="00EE2DE7">
        <w:rPr>
          <w:rFonts w:eastAsia="MS Mincho"/>
        </w:rPr>
        <w:br/>
      </w:r>
      <m:oMath>
        <m:sSub>
          <m:sSubPr>
            <m:ctrlPr>
              <w:rPr>
                <w:rFonts w:ascii="Cambria Math" w:hAnsi="Cambria Math"/>
              </w:rPr>
            </m:ctrlPr>
          </m:sSubPr>
          <m:e>
            <m:r>
              <w:rPr>
                <w:rFonts w:ascii="Cambria Math" w:hAnsi="Cambria Math"/>
              </w:rPr>
              <m:t>f</m:t>
            </m:r>
          </m:e>
          <m:sub>
            <m:r>
              <m:rPr>
                <m:sty m:val="p"/>
              </m:rPr>
              <w:rPr>
                <w:rFonts w:ascii="Cambria Math" w:hAnsi="Cambria Math"/>
              </w:rPr>
              <m:t>2</m:t>
            </m:r>
          </m:sub>
        </m:sSub>
      </m:oMath>
      <w:r w:rsidR="00F74D7F" w:rsidRPr="00EE2DE7">
        <w:rPr>
          <w:rFonts w:eastAsia="MS Mincho"/>
          <w:lang w:eastAsia="en-GB"/>
        </w:rPr>
        <w:t>=</w:t>
      </w:r>
      <w:r w:rsidR="00F74D7F" w:rsidRPr="00EE2DE7">
        <w:rPr>
          <w:rFonts w:eastAsia="MS Mincho"/>
          <w:lang w:eastAsia="ja-JP"/>
        </w:rPr>
        <w:t xml:space="preserve">   1 (një) </w:t>
      </w:r>
      <w:r w:rsidR="00F74D7F" w:rsidRPr="00EE2DE7">
        <w:rPr>
          <w:rFonts w:eastAsia="MS Mincho"/>
          <w:lang w:eastAsia="en-GB"/>
        </w:rPr>
        <w:t>koefi</w:t>
      </w:r>
      <w:r w:rsidR="00F74D7F" w:rsidRPr="00EE2DE7">
        <w:rPr>
          <w:rFonts w:eastAsia="MS Mincho"/>
          <w:lang w:eastAsia="ja-JP"/>
        </w:rPr>
        <w:t>cienti i vështirësisë të Grupit II (viti i II-të);</w:t>
      </w:r>
    </w:p>
    <w:p w:rsidR="00F74D7F" w:rsidRPr="00EE2DE7" w:rsidRDefault="00CF3AE0" w:rsidP="00F74D7F">
      <w:pPr>
        <w:spacing w:line="276" w:lineRule="auto"/>
        <w:rPr>
          <w:rFonts w:eastAsia="MS Mincho"/>
          <w:lang w:eastAsia="ja-JP"/>
        </w:rPr>
      </w:pPr>
      <m:oMath>
        <m:sSub>
          <m:sSubPr>
            <m:ctrlPr>
              <w:rPr>
                <w:rFonts w:ascii="Cambria Math" w:hAnsi="Cambria Math"/>
              </w:rPr>
            </m:ctrlPr>
          </m:sSubPr>
          <m:e>
            <m:r>
              <w:rPr>
                <w:rFonts w:ascii="Cambria Math" w:hAnsi="Cambria Math"/>
              </w:rPr>
              <m:t>f</m:t>
            </m:r>
          </m:e>
          <m:sub>
            <m:r>
              <m:rPr>
                <m:sty m:val="p"/>
              </m:rPr>
              <w:rPr>
                <w:rFonts w:ascii="Cambria Math" w:hAnsi="Cambria Math"/>
              </w:rPr>
              <m:t>3</m:t>
            </m:r>
          </m:sub>
        </m:sSub>
      </m:oMath>
      <w:r w:rsidR="00C057AA" w:rsidRPr="00EE2DE7">
        <w:rPr>
          <w:rFonts w:eastAsia="MS Mincho"/>
          <w:lang w:eastAsia="en-GB"/>
        </w:rPr>
        <w:fldChar w:fldCharType="begin"/>
      </w:r>
      <w:r w:rsidR="00F74D7F" w:rsidRPr="00EE2DE7">
        <w:rPr>
          <w:rFonts w:eastAsia="MS Mincho"/>
          <w:lang w:eastAsia="en-GB"/>
        </w:rPr>
        <w:instrText xml:space="preserve"> QUOTE </w:instrTex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1</m:t>
            </m:r>
          </m:sub>
        </m:sSub>
      </m:oMath>
      <w:r w:rsidR="00C057AA" w:rsidRPr="00EE2DE7">
        <w:rPr>
          <w:rFonts w:eastAsia="MS Mincho"/>
          <w:lang w:eastAsia="en-GB"/>
        </w:rPr>
        <w:fldChar w:fldCharType="end"/>
      </w:r>
      <w:r w:rsidR="00F74D7F" w:rsidRPr="00EE2DE7">
        <w:rPr>
          <w:rFonts w:eastAsia="MS Mincho"/>
          <w:lang w:eastAsia="en-GB"/>
        </w:rPr>
        <w:t>=</w:t>
      </w:r>
      <w:r w:rsidR="00F74D7F" w:rsidRPr="00EE2DE7">
        <w:rPr>
          <w:rFonts w:eastAsia="MS Mincho"/>
          <w:lang w:eastAsia="ja-JP"/>
        </w:rPr>
        <w:t xml:space="preserve">   2 (dy) koeficienti i vështirësisë për temën e vitit të dytë  </w:t>
      </w:r>
      <m:oMath>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 xml:space="preserve">6 </m:t>
            </m:r>
          </m:sub>
        </m:sSub>
        <m:r>
          <m:rPr>
            <m:sty m:val="p"/>
          </m:rPr>
          <w:rPr>
            <w:rFonts w:ascii="Cambria Math" w:hAnsi="Cambria Math"/>
          </w:rPr>
          <m:t>)</m:t>
        </m:r>
      </m:oMath>
      <w:r w:rsidR="00F74D7F" w:rsidRPr="00EE2DE7">
        <w:rPr>
          <w:rFonts w:eastAsia="MS Mincho"/>
          <w:lang w:eastAsia="ja-JP"/>
        </w:rPr>
        <w:t>;</w:t>
      </w:r>
    </w:p>
    <w:p w:rsidR="00F74D7F" w:rsidRPr="00EE2DE7" w:rsidRDefault="00CF3AE0" w:rsidP="00F74D7F">
      <w:pPr>
        <w:spacing w:line="276" w:lineRule="auto"/>
        <w:rPr>
          <w:rFonts w:eastAsia="MS Mincho"/>
          <w:lang w:eastAsia="ja-JP"/>
        </w:rPr>
      </w:pPr>
      <m:oMath>
        <m:sSub>
          <m:sSubPr>
            <m:ctrlPr>
              <w:rPr>
                <w:rFonts w:ascii="Cambria Math" w:hAnsi="Cambria Math"/>
              </w:rPr>
            </m:ctrlPr>
          </m:sSubPr>
          <m:e>
            <m:r>
              <w:rPr>
                <w:rFonts w:ascii="Cambria Math" w:hAnsi="Cambria Math"/>
              </w:rPr>
              <m:t>f</m:t>
            </m:r>
          </m:e>
          <m:sub>
            <m:r>
              <m:rPr>
                <m:sty m:val="p"/>
              </m:rPr>
              <w:rPr>
                <w:rFonts w:ascii="Cambria Math" w:hAnsi="Cambria Math"/>
              </w:rPr>
              <m:t>3</m:t>
            </m:r>
          </m:sub>
        </m:sSub>
      </m:oMath>
      <w:r w:rsidR="00F74D7F" w:rsidRPr="00EE2DE7">
        <w:rPr>
          <w:rFonts w:eastAsia="MS Mincho"/>
          <w:lang w:eastAsia="ja-JP"/>
        </w:rPr>
        <w:t xml:space="preserve">=   2 (dy) keoficenti i vështirësisë për provimin përfundimtar të vitit të dytë (x7). </w:t>
      </w:r>
    </w:p>
    <w:p w:rsidR="00B02831" w:rsidRDefault="00B02831" w:rsidP="00036DBB">
      <w:pPr>
        <w:spacing w:line="276" w:lineRule="auto"/>
        <w:ind w:right="26"/>
        <w:jc w:val="both"/>
        <w:rPr>
          <w:rFonts w:eastAsia="Tw Cen MT"/>
        </w:rPr>
      </w:pPr>
    </w:p>
    <w:p w:rsidR="004E231A" w:rsidRPr="00036DBB" w:rsidRDefault="004E231A" w:rsidP="00036DBB">
      <w:pPr>
        <w:spacing w:line="276" w:lineRule="auto"/>
        <w:ind w:right="26"/>
        <w:jc w:val="both"/>
        <w:rPr>
          <w:rFonts w:eastAsia="Tw Cen MT"/>
        </w:rPr>
      </w:pPr>
    </w:p>
    <w:p w:rsidR="00B02831" w:rsidRPr="00036DBB" w:rsidRDefault="004E231A" w:rsidP="00036DBB">
      <w:pPr>
        <w:spacing w:line="276" w:lineRule="auto"/>
        <w:ind w:right="26"/>
        <w:jc w:val="both"/>
        <w:rPr>
          <w:rFonts w:eastAsia="Tw Cen MT"/>
        </w:rPr>
      </w:pPr>
      <w:r w:rsidRPr="004E231A">
        <w:rPr>
          <w:rFonts w:eastAsia="Tw Cen MT"/>
          <w:noProof/>
          <w:lang w:eastAsia="en-US"/>
        </w:rPr>
        <w:drawing>
          <wp:inline distT="0" distB="0" distL="0" distR="0">
            <wp:extent cx="3032760" cy="153260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229" t="26262" r="4308" b="2996"/>
                    <a:stretch>
                      <a:fillRect/>
                    </a:stretch>
                  </pic:blipFill>
                  <pic:spPr bwMode="auto">
                    <a:xfrm>
                      <a:off x="0" y="0"/>
                      <a:ext cx="3032760" cy="1532605"/>
                    </a:xfrm>
                    <a:prstGeom prst="rect">
                      <a:avLst/>
                    </a:prstGeom>
                    <a:noFill/>
                    <a:ln>
                      <a:noFill/>
                    </a:ln>
                  </pic:spPr>
                </pic:pic>
              </a:graphicData>
            </a:graphic>
          </wp:inline>
        </w:drawing>
      </w:r>
    </w:p>
    <w:p w:rsidR="00B02831" w:rsidRPr="004E231A" w:rsidRDefault="004E231A" w:rsidP="00036DBB">
      <w:pPr>
        <w:spacing w:line="276" w:lineRule="auto"/>
        <w:ind w:right="26"/>
        <w:jc w:val="both"/>
        <w:rPr>
          <w:rFonts w:eastAsia="Tw Cen MT"/>
          <w:sz w:val="20"/>
        </w:rPr>
      </w:pPr>
      <w:r>
        <w:rPr>
          <w:rFonts w:eastAsia="Tw Cen MT"/>
          <w:i/>
          <w:kern w:val="24"/>
          <w:sz w:val="20"/>
          <w:szCs w:val="20"/>
        </w:rPr>
        <w:t xml:space="preserve">          Figura nr.4 </w:t>
      </w:r>
      <w:r w:rsidRPr="004E231A">
        <w:rPr>
          <w:rFonts w:eastAsia="Tw Cen MT"/>
          <w:i/>
          <w:kern w:val="24"/>
          <w:sz w:val="20"/>
          <w:szCs w:val="20"/>
        </w:rPr>
        <w:t>Mbrojtja e temave, qershor 2018</w:t>
      </w:r>
    </w:p>
    <w:p w:rsidR="004E231A" w:rsidRPr="00036DBB" w:rsidRDefault="004E231A" w:rsidP="00036DBB">
      <w:pPr>
        <w:spacing w:line="276" w:lineRule="auto"/>
        <w:ind w:right="26"/>
        <w:jc w:val="both"/>
        <w:rPr>
          <w:rFonts w:eastAsia="Tw Cen MT"/>
        </w:rPr>
      </w:pPr>
    </w:p>
    <w:p w:rsidR="00B02831" w:rsidRPr="00036DBB" w:rsidRDefault="004E231A" w:rsidP="00036DBB">
      <w:pPr>
        <w:spacing w:line="276" w:lineRule="auto"/>
        <w:ind w:right="26"/>
        <w:jc w:val="both"/>
        <w:rPr>
          <w:rFonts w:eastAsia="Tw Cen MT"/>
        </w:rPr>
      </w:pPr>
      <w:r w:rsidRPr="004E231A">
        <w:rPr>
          <w:rFonts w:eastAsia="Tw Cen MT"/>
          <w:noProof/>
          <w:lang w:eastAsia="en-US"/>
        </w:rPr>
        <w:drawing>
          <wp:inline distT="0" distB="0" distL="0" distR="0">
            <wp:extent cx="3032760" cy="2000557"/>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t="14545" r="13702"/>
                    <a:stretch>
                      <a:fillRect/>
                    </a:stretch>
                  </pic:blipFill>
                  <pic:spPr bwMode="auto">
                    <a:xfrm>
                      <a:off x="0" y="0"/>
                      <a:ext cx="3032760" cy="2000557"/>
                    </a:xfrm>
                    <a:prstGeom prst="rect">
                      <a:avLst/>
                    </a:prstGeom>
                    <a:noFill/>
                    <a:ln>
                      <a:noFill/>
                    </a:ln>
                  </pic:spPr>
                </pic:pic>
              </a:graphicData>
            </a:graphic>
          </wp:inline>
        </w:drawing>
      </w:r>
    </w:p>
    <w:p w:rsidR="004E231A" w:rsidRPr="004E231A" w:rsidRDefault="004E231A" w:rsidP="004E231A">
      <w:pPr>
        <w:spacing w:line="276" w:lineRule="auto"/>
        <w:ind w:right="26"/>
        <w:jc w:val="both"/>
        <w:rPr>
          <w:rFonts w:eastAsia="Tw Cen MT"/>
          <w:sz w:val="20"/>
        </w:rPr>
      </w:pPr>
      <w:r>
        <w:rPr>
          <w:rFonts w:eastAsia="Tw Cen MT"/>
          <w:i/>
          <w:kern w:val="24"/>
          <w:sz w:val="20"/>
          <w:szCs w:val="20"/>
        </w:rPr>
        <w:t xml:space="preserve">        Figura nr.5  </w:t>
      </w:r>
      <w:r w:rsidRPr="004E231A">
        <w:rPr>
          <w:rFonts w:eastAsia="Tw Cen MT"/>
          <w:i/>
          <w:kern w:val="24"/>
          <w:sz w:val="20"/>
          <w:szCs w:val="20"/>
        </w:rPr>
        <w:t>Mbrojtja e temave, qershor 2018</w:t>
      </w: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4E231A" w:rsidRPr="003754E1" w:rsidRDefault="001972A7" w:rsidP="004E231A">
      <w:pPr>
        <w:spacing w:line="276" w:lineRule="auto"/>
        <w:ind w:right="26"/>
        <w:jc w:val="both"/>
        <w:rPr>
          <w:rFonts w:eastAsia="Tw Cen MT"/>
        </w:rPr>
      </w:pPr>
      <w:r w:rsidRPr="004E231A">
        <w:rPr>
          <w:rFonts w:eastAsia="Tw Cen MT"/>
          <w:noProof/>
          <w:lang w:eastAsia="en-US"/>
        </w:rPr>
        <w:lastRenderedPageBreak/>
        <w:drawing>
          <wp:inline distT="0" distB="0" distL="0" distR="0">
            <wp:extent cx="3032760" cy="1721825"/>
            <wp:effectExtent l="1905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l="2820" t="13014" r="2664" b="6555"/>
                    <a:stretch>
                      <a:fillRect/>
                    </a:stretch>
                  </pic:blipFill>
                  <pic:spPr bwMode="auto">
                    <a:xfrm>
                      <a:off x="0" y="0"/>
                      <a:ext cx="3032760" cy="1721825"/>
                    </a:xfrm>
                    <a:prstGeom prst="rect">
                      <a:avLst/>
                    </a:prstGeom>
                    <a:noFill/>
                    <a:ln>
                      <a:noFill/>
                    </a:ln>
                  </pic:spPr>
                </pic:pic>
              </a:graphicData>
            </a:graphic>
          </wp:inline>
        </w:drawing>
      </w:r>
      <w:r w:rsidR="003754E1">
        <w:rPr>
          <w:rFonts w:eastAsia="Tw Cen MT"/>
        </w:rPr>
        <w:t xml:space="preserve">          </w:t>
      </w:r>
      <w:r w:rsidR="004E231A">
        <w:rPr>
          <w:rFonts w:eastAsia="Tw Cen MT"/>
          <w:i/>
          <w:kern w:val="24"/>
          <w:sz w:val="20"/>
          <w:szCs w:val="20"/>
        </w:rPr>
        <w:t xml:space="preserve">Figura nr.6  </w:t>
      </w:r>
      <w:r w:rsidR="004E231A" w:rsidRPr="004E231A">
        <w:rPr>
          <w:rFonts w:eastAsia="Tw Cen MT"/>
          <w:i/>
          <w:kern w:val="24"/>
          <w:sz w:val="20"/>
          <w:szCs w:val="20"/>
        </w:rPr>
        <w:t>Mbrojtja e temave, qershor 2018</w:t>
      </w:r>
    </w:p>
    <w:p w:rsidR="00B02831" w:rsidRPr="00036DBB" w:rsidRDefault="00B02831" w:rsidP="00036DBB">
      <w:pPr>
        <w:spacing w:line="276" w:lineRule="auto"/>
        <w:ind w:right="26"/>
        <w:jc w:val="both"/>
        <w:rPr>
          <w:rFonts w:eastAsia="Tw Cen MT"/>
        </w:rPr>
      </w:pPr>
    </w:p>
    <w:p w:rsidR="001972A7" w:rsidRPr="001972A7" w:rsidRDefault="001972A7" w:rsidP="001972A7">
      <w:pPr>
        <w:spacing w:line="276" w:lineRule="auto"/>
        <w:rPr>
          <w:b/>
          <w:color w:val="CC9966" w:themeColor="accent2"/>
          <w:sz w:val="32"/>
        </w:rPr>
      </w:pPr>
      <w:r w:rsidRPr="001972A7">
        <w:rPr>
          <w:b/>
          <w:color w:val="CC9966" w:themeColor="accent2"/>
          <w:sz w:val="32"/>
        </w:rPr>
        <w:t>1.5</w:t>
      </w:r>
      <w:r w:rsidR="00A41A6D">
        <w:rPr>
          <w:b/>
          <w:color w:val="CC9966" w:themeColor="accent2"/>
          <w:sz w:val="32"/>
        </w:rPr>
        <w:t>.</w:t>
      </w:r>
      <w:r w:rsidRPr="001972A7">
        <w:rPr>
          <w:b/>
          <w:color w:val="CC9966" w:themeColor="accent2"/>
          <w:sz w:val="32"/>
        </w:rPr>
        <w:t xml:space="preserve"> </w:t>
      </w:r>
      <w:r>
        <w:rPr>
          <w:b/>
          <w:color w:val="CC9966" w:themeColor="accent2"/>
          <w:sz w:val="32"/>
        </w:rPr>
        <w:t xml:space="preserve"> </w:t>
      </w:r>
      <w:r w:rsidRPr="001972A7">
        <w:rPr>
          <w:b/>
          <w:color w:val="CC9966" w:themeColor="accent2"/>
          <w:sz w:val="32"/>
        </w:rPr>
        <w:t>Viti i tretë</w:t>
      </w:r>
      <w:r w:rsidRPr="001972A7">
        <w:rPr>
          <w:b/>
          <w:color w:val="CC9966" w:themeColor="accent2"/>
          <w:sz w:val="32"/>
        </w:rPr>
        <w:tab/>
      </w:r>
    </w:p>
    <w:p w:rsidR="001972A7" w:rsidRDefault="001972A7" w:rsidP="001972A7">
      <w:pPr>
        <w:spacing w:line="276" w:lineRule="auto"/>
        <w:jc w:val="both"/>
        <w:rPr>
          <w:rFonts w:eastAsia="Tw Cen MT"/>
        </w:rPr>
      </w:pPr>
    </w:p>
    <w:p w:rsidR="001972A7" w:rsidRPr="00EE2DE7" w:rsidRDefault="001972A7" w:rsidP="001972A7">
      <w:pPr>
        <w:spacing w:line="276" w:lineRule="auto"/>
        <w:jc w:val="both"/>
        <w:rPr>
          <w:rFonts w:eastAsia="MS Mincho"/>
          <w:kern w:val="24"/>
          <w:szCs w:val="23"/>
        </w:rPr>
      </w:pPr>
      <w:r w:rsidRPr="00EE2DE7">
        <w:rPr>
          <w:rFonts w:eastAsia="MS Mincho"/>
          <w:kern w:val="24"/>
          <w:szCs w:val="23"/>
        </w:rPr>
        <w:t xml:space="preserve">Në vitin akademik 2017-2018, Shkolla e Magjistraturës në vitin e tretë </w:t>
      </w:r>
      <w:r w:rsidRPr="00EE2DE7">
        <w:rPr>
          <w:rFonts w:eastAsia="Calibri"/>
          <w:kern w:val="24"/>
        </w:rPr>
        <w:t>pati 16 kandidatë për magjistratë</w:t>
      </w:r>
      <w:r w:rsidRPr="00EE2DE7">
        <w:rPr>
          <w:rFonts w:eastAsia="MS Mincho"/>
          <w:kern w:val="24"/>
          <w:szCs w:val="23"/>
        </w:rPr>
        <w:t xml:space="preserve"> në Programin e Formimit Fillestar.</w:t>
      </w:r>
    </w:p>
    <w:p w:rsidR="001972A7" w:rsidRPr="00EE2DE7" w:rsidRDefault="001972A7" w:rsidP="001972A7">
      <w:pPr>
        <w:spacing w:line="276" w:lineRule="auto"/>
        <w:jc w:val="both"/>
        <w:rPr>
          <w:rFonts w:eastAsia="MS Mincho"/>
          <w:kern w:val="24"/>
          <w:szCs w:val="23"/>
        </w:rPr>
      </w:pPr>
      <w:r w:rsidRPr="00EE2DE7">
        <w:rPr>
          <w:rFonts w:eastAsia="MS Mincho"/>
          <w:kern w:val="24"/>
          <w:szCs w:val="23"/>
        </w:rPr>
        <w:t>Plani mësimor i vitit të tretë, i ndryshuar nga ligjet që rregullojnë veprimtarinë e Shkollës, konkretisht: ligji nr. 96/2016, “</w:t>
      </w:r>
      <w:r w:rsidRPr="00EE2DE7">
        <w:rPr>
          <w:rFonts w:eastAsia="MS Mincho"/>
          <w:i/>
          <w:kern w:val="24"/>
          <w:szCs w:val="23"/>
        </w:rPr>
        <w:t>Për statusin e gjyqtarëve dhe prokurorëve në Republikën e Shqipërisë</w:t>
      </w:r>
      <w:r w:rsidRPr="00EE2DE7">
        <w:rPr>
          <w:rFonts w:eastAsia="MS Mincho"/>
          <w:kern w:val="24"/>
          <w:szCs w:val="23"/>
        </w:rPr>
        <w:t>”; ligji nr. 98/2016, “</w:t>
      </w:r>
      <w:r w:rsidRPr="00EE2DE7">
        <w:rPr>
          <w:rFonts w:eastAsia="MS Mincho"/>
          <w:i/>
          <w:kern w:val="24"/>
          <w:szCs w:val="23"/>
        </w:rPr>
        <w:t>Për organizimin e pushtetit gjyqësor në Republikën e Shqipërisë</w:t>
      </w:r>
      <w:r w:rsidRPr="00EE2DE7">
        <w:rPr>
          <w:rFonts w:eastAsia="MS Mincho"/>
          <w:kern w:val="24"/>
          <w:szCs w:val="23"/>
        </w:rPr>
        <w:t>”; ligji nr. 115/2016, “</w:t>
      </w:r>
      <w:r w:rsidRPr="00EE2DE7">
        <w:rPr>
          <w:rFonts w:eastAsia="MS Mincho"/>
          <w:i/>
          <w:kern w:val="24"/>
          <w:szCs w:val="23"/>
        </w:rPr>
        <w:t>Për organet e qeverisjes së sistemit të drejtësisë</w:t>
      </w:r>
      <w:r w:rsidRPr="00EE2DE7">
        <w:rPr>
          <w:rFonts w:eastAsia="MS Mincho"/>
          <w:kern w:val="24"/>
          <w:szCs w:val="23"/>
        </w:rPr>
        <w:t>”; në Rregulloren e Brendshme të Shkollës ku u rikonceptua në mënyrën e organizimit dhe të vlerësimit.</w:t>
      </w:r>
    </w:p>
    <w:p w:rsidR="001972A7" w:rsidRDefault="001972A7" w:rsidP="001972A7">
      <w:pPr>
        <w:spacing w:line="276" w:lineRule="auto"/>
        <w:jc w:val="both"/>
        <w:rPr>
          <w:rFonts w:eastAsia="Calibri"/>
          <w:kern w:val="24"/>
          <w:szCs w:val="23"/>
        </w:rPr>
      </w:pPr>
      <w:r w:rsidRPr="00EE2DE7">
        <w:rPr>
          <w:rFonts w:eastAsia="Calibri"/>
          <w:kern w:val="24"/>
          <w:szCs w:val="23"/>
        </w:rPr>
        <w:t>Bazuar në nenin 33 të ligjit nr. 96/2016, “</w:t>
      </w:r>
      <w:r w:rsidRPr="00EE2DE7">
        <w:rPr>
          <w:rFonts w:eastAsia="MS Mincho"/>
          <w:i/>
          <w:kern w:val="24"/>
          <w:szCs w:val="23"/>
        </w:rPr>
        <w:t>Për statusin e gjyqtarëve dhe prokurorëve në Republikën e Shqipërisë</w:t>
      </w:r>
      <w:r w:rsidRPr="00EE2DE7">
        <w:rPr>
          <w:rFonts w:eastAsia="MS Mincho"/>
          <w:kern w:val="24"/>
          <w:szCs w:val="23"/>
        </w:rPr>
        <w:t xml:space="preserve">”, </w:t>
      </w:r>
      <w:r w:rsidRPr="00EE2DE7">
        <w:rPr>
          <w:rFonts w:eastAsia="Calibri"/>
          <w:kern w:val="24"/>
          <w:szCs w:val="23"/>
        </w:rPr>
        <w:t>praktika profesionale zgjati 12 muaj, duke filluar në muajin korrik 2017 dhe duke përfunduar në muajin qershor 2018.</w:t>
      </w:r>
    </w:p>
    <w:p w:rsidR="001972A7" w:rsidRPr="00A666D3" w:rsidRDefault="001972A7" w:rsidP="005C2687">
      <w:pPr>
        <w:pStyle w:val="ListParagraph"/>
        <w:numPr>
          <w:ilvl w:val="0"/>
          <w:numId w:val="18"/>
        </w:numPr>
        <w:spacing w:line="276" w:lineRule="auto"/>
        <w:jc w:val="both"/>
      </w:pPr>
      <w:r w:rsidRPr="00A666D3">
        <w:t>Me ndryshimet që pësoi legjislacioni, kandidatët për magjistratë të vitit të tretë, kryejnë praktikën profesionale pranë gjykatave dhe prokurorive të shkallës së parë, të udhëhequr nga një trup magjistratësh udhëheqës, të cilët kryejnë vlerësimin profesional dhe etik të secilit kandidat, bazuar në kriteret dhe nivelet e vlerësimit të përcaktuara në ligj.</w:t>
      </w:r>
    </w:p>
    <w:p w:rsidR="001972A7" w:rsidRPr="00A666D3" w:rsidRDefault="001972A7" w:rsidP="005C2687">
      <w:pPr>
        <w:pStyle w:val="ListParagraph"/>
        <w:numPr>
          <w:ilvl w:val="0"/>
          <w:numId w:val="18"/>
        </w:numPr>
        <w:spacing w:line="276" w:lineRule="auto"/>
        <w:jc w:val="both"/>
      </w:pPr>
      <w:r w:rsidRPr="00A666D3">
        <w:t xml:space="preserve">Në kushtet kur nuk u arrit të krijohej Këshilli i Lartë Gjyqësor dhe Këshilli i </w:t>
      </w:r>
      <w:r w:rsidRPr="00A666D3">
        <w:t xml:space="preserve">Lartë i Prokurorisë, Shkolla e Magjistraturës iu drejtua Këshillit të Lartë të Drejtësisë dhe Prokurorisë së Përgjithshme duke i vënë në dijeni për situatën e krijuar, me synim gjendjen e një zgjidhjeve të arsyeshme për të mos krijuar pengesë për kandidatët për magjistratë në realizimin e planit mësimor të parashikuar. </w:t>
      </w:r>
    </w:p>
    <w:p w:rsidR="001972A7" w:rsidRPr="00A666D3" w:rsidRDefault="001972A7" w:rsidP="005C2687">
      <w:pPr>
        <w:pStyle w:val="ListParagraph"/>
        <w:numPr>
          <w:ilvl w:val="0"/>
          <w:numId w:val="18"/>
        </w:numPr>
        <w:spacing w:line="276" w:lineRule="auto"/>
        <w:jc w:val="both"/>
      </w:pPr>
      <w:r w:rsidRPr="00A666D3">
        <w:t>Këshilli Drejtues, i mbledhur më datë 29 qershor 2017, pasi u informua mbi situatën e krijuar, nisur nga detyrimi ligjor për fillimin e praktikës gjyqësore në korrik, për tri periudha të ndryshme katërmujore, duke synuar përfitimin e përvojës profesionale të kandidatëve për magjistratë, u autorizua Drejtori i Shkollës së Magjistraturës për ndërmjetësim dhe kërkimin e një zgjidhjeje midis institucioneve: Gjykata e Rrethit Gjyqësor Tiranë; Gjykata Administrative e shkallës së parë për gjyqtarët dhe Prokuroria e Rrethit Gjyqësor Tiranë, bazuar në këta tregues:</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 xml:space="preserve">a) disponueshmërinë e gjyqtarëve dhe prokurorëve udhëheqës; </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b) infrastrukturën e gjykatës dhe të prokurorisë;</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 xml:space="preserve">c) disponueshmërinë e hapësirës dhe mjediseve të punës për kandidatët magjistratë; </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 xml:space="preserve">ç) mundësinë për t’u njohur me një numër të madh ligjesh dhe shumëllojshmëri çështjesh gjatë praktikës profesionale. </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 xml:space="preserve">Shkolla e Magjistraturës, në bashkëpunim me këto institucione, realizoi zhvillimin e praktikës profesionale për kandidatët për magjistratë, duke krijuar kushtet optimale pranë një magjistrati udhëheqës, duke caktuar një udhëheqës për secilin prej kandidatëve magjistratë, me qëllim që secili prej tyre: </w:t>
      </w:r>
    </w:p>
    <w:p w:rsidR="001972A7" w:rsidRPr="00EE2DE7" w:rsidRDefault="001972A7" w:rsidP="001972A7">
      <w:pPr>
        <w:spacing w:line="276" w:lineRule="auto"/>
        <w:jc w:val="both"/>
        <w:rPr>
          <w:rFonts w:eastAsia="Calibri"/>
          <w:kern w:val="24"/>
          <w:szCs w:val="23"/>
        </w:rPr>
      </w:pPr>
      <w:r w:rsidRPr="00EE2DE7">
        <w:rPr>
          <w:rFonts w:eastAsia="Calibri"/>
          <w:kern w:val="24"/>
          <w:szCs w:val="23"/>
        </w:rPr>
        <w:lastRenderedPageBreak/>
        <w:tab/>
        <w:t>a) të ketë udhëheqës të ndryshëm për secilën nga tri periudhat katërmujore të njëpasnjëshme;</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b) të fitojë përvojë profesionale në fushat e së drejtës civile, penale dhe administrative;</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c) të përfshijë sa më shumë që të jetë e mundur në aspektet e punës së përditshme të magjistratit udhëheqës, pavarësisht nga fakti se nuk ushtron ende funksionin e magjistratit, duke përfshirë:</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i) shpjegimet dhe diskutimet për çështjet e papërfunduara;</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ii) pjesëmarrjen në seancat dëgjimore ose në marrjet në pyetje;</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iii) aspektet në menaxhimin e çështjeve;</w:t>
      </w:r>
    </w:p>
    <w:p w:rsidR="001972A7" w:rsidRPr="00EE2DE7" w:rsidRDefault="001972A7" w:rsidP="001972A7">
      <w:pPr>
        <w:tabs>
          <w:tab w:val="left" w:pos="720"/>
          <w:tab w:val="left" w:pos="1440"/>
          <w:tab w:val="left" w:pos="2160"/>
          <w:tab w:val="left" w:pos="2880"/>
          <w:tab w:val="left" w:pos="3600"/>
          <w:tab w:val="left" w:pos="4320"/>
          <w:tab w:val="left" w:pos="5328"/>
        </w:tabs>
        <w:spacing w:line="276" w:lineRule="auto"/>
        <w:jc w:val="both"/>
        <w:rPr>
          <w:rFonts w:eastAsia="Calibri"/>
          <w:kern w:val="24"/>
          <w:szCs w:val="23"/>
        </w:rPr>
      </w:pPr>
      <w:r w:rsidRPr="00EE2DE7">
        <w:rPr>
          <w:rFonts w:eastAsia="Calibri"/>
          <w:kern w:val="24"/>
          <w:szCs w:val="23"/>
        </w:rPr>
        <w:tab/>
        <w:t>iv) përvojën në menaxhimin e dosjeve;</w:t>
      </w:r>
      <w:r>
        <w:rPr>
          <w:rFonts w:eastAsia="Calibri"/>
          <w:kern w:val="24"/>
          <w:szCs w:val="23"/>
        </w:rPr>
        <w:tab/>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 xml:space="preserve">v) përgatitjen dhe diskutimin e projektvendimeve; </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 xml:space="preserve">vi) përvojën në administratën e gjykatës ose prokurorisë; </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vii) aspekte për standardet e etikës dhe rregullat e sjelljes së magjistratëve.</w:t>
      </w:r>
    </w:p>
    <w:p w:rsidR="001972A7" w:rsidRPr="00A666D3" w:rsidRDefault="001972A7" w:rsidP="005C2687">
      <w:pPr>
        <w:pStyle w:val="ListParagraph"/>
        <w:numPr>
          <w:ilvl w:val="0"/>
          <w:numId w:val="18"/>
        </w:numPr>
        <w:spacing w:line="276" w:lineRule="auto"/>
        <w:jc w:val="both"/>
      </w:pPr>
      <w:r w:rsidRPr="00A666D3">
        <w:t xml:space="preserve">U </w:t>
      </w:r>
      <w:r>
        <w:t xml:space="preserve">caktua  një trupë magjistratësh </w:t>
      </w:r>
      <w:r w:rsidRPr="00A666D3">
        <w:t xml:space="preserve">udhëheqës, ku çdo magjistrat udhëheqës përmbush njëkohësisht kriteret: </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ab/>
        <w:t xml:space="preserve">a) ka të paktën pesë vjet përvojë si gjyqtar ose prokuror; </w:t>
      </w:r>
    </w:p>
    <w:p w:rsidR="001972A7" w:rsidRPr="00EE2DE7" w:rsidRDefault="001972A7" w:rsidP="001972A7">
      <w:pPr>
        <w:spacing w:line="276" w:lineRule="auto"/>
        <w:ind w:left="284"/>
        <w:jc w:val="both"/>
        <w:rPr>
          <w:rFonts w:eastAsia="Calibri"/>
          <w:kern w:val="24"/>
          <w:szCs w:val="23"/>
        </w:rPr>
      </w:pPr>
      <w:r w:rsidRPr="00EE2DE7">
        <w:rPr>
          <w:rFonts w:eastAsia="Calibri"/>
          <w:kern w:val="24"/>
          <w:szCs w:val="23"/>
        </w:rPr>
        <w:tab/>
        <w:t>b) është vlerësuar në përputhje me ligjin, “shumë mirë” në vlerësimin e fundit etik dhe profesional;</w:t>
      </w:r>
    </w:p>
    <w:p w:rsidR="001972A7" w:rsidRPr="00EE2DE7" w:rsidRDefault="001972A7" w:rsidP="001972A7">
      <w:pPr>
        <w:spacing w:line="276" w:lineRule="auto"/>
        <w:ind w:left="284"/>
        <w:jc w:val="both"/>
        <w:rPr>
          <w:rFonts w:eastAsia="Calibri"/>
          <w:kern w:val="24"/>
          <w:szCs w:val="23"/>
        </w:rPr>
      </w:pPr>
      <w:r w:rsidRPr="00EE2DE7">
        <w:rPr>
          <w:rFonts w:eastAsia="Calibri"/>
          <w:kern w:val="24"/>
          <w:szCs w:val="23"/>
        </w:rPr>
        <w:tab/>
        <w:t>c)ka respektuar afatet ligjore për hetimin apo gjykimin e çështjeve në vitin paraardhës, përpara se të caktohej si udhëheqës.</w:t>
      </w:r>
    </w:p>
    <w:p w:rsidR="001972A7" w:rsidRPr="00A666D3" w:rsidRDefault="001972A7" w:rsidP="005C2687">
      <w:pPr>
        <w:pStyle w:val="ListParagraph"/>
        <w:numPr>
          <w:ilvl w:val="0"/>
          <w:numId w:val="18"/>
        </w:numPr>
        <w:tabs>
          <w:tab w:val="left" w:pos="270"/>
          <w:tab w:val="left" w:pos="360"/>
        </w:tabs>
        <w:spacing w:line="276" w:lineRule="auto"/>
        <w:jc w:val="both"/>
      </w:pPr>
      <w:r w:rsidRPr="00A666D3">
        <w:t>Në bashkëpunim me misionin EURALIUS, Shkolla e Magjistraturës organizoi një trajnim me temë “</w:t>
      </w:r>
      <w:r w:rsidRPr="00A666D3">
        <w:rPr>
          <w:i/>
        </w:rPr>
        <w:t>Praktika profesionale e kandidatëve për magjistratë në vit të tretë të Programit të Formimit Fillestar</w:t>
      </w:r>
      <w:r w:rsidRPr="00A666D3">
        <w:t xml:space="preserve">”, për magjistratët udhëheqës të kandidatëve për magjistratë gjatë stazhit të tyre profesional. Ky ishte sesioni i parë trajnues, pas ndryshimeve </w:t>
      </w:r>
      <w:r w:rsidRPr="00A666D3">
        <w:t>ligjore, i cili ishte shumë i vlefshëm për njohjen me situatën e re ligjore të krijuar mbi detyrat e një magjistrati udhëheqës dhe vlerësimin përfundimtar të vitit të tretë të një kandidati për magjistrat.</w:t>
      </w:r>
    </w:p>
    <w:p w:rsidR="001972A7" w:rsidRPr="00A666D3" w:rsidRDefault="001972A7" w:rsidP="005C2687">
      <w:pPr>
        <w:pStyle w:val="ListParagraph"/>
        <w:numPr>
          <w:ilvl w:val="0"/>
          <w:numId w:val="18"/>
        </w:numPr>
        <w:spacing w:line="276" w:lineRule="auto"/>
        <w:jc w:val="both"/>
      </w:pPr>
      <w:r w:rsidRPr="00A666D3">
        <w:t>Magjistrati udhëheqës bëri vlerësimin etik dhe profesional të secilit kandidat magjistrat, duke u bazuar në kriteret dhe nivelet e vlerësimit, të përcaktuara në ligj.</w:t>
      </w:r>
    </w:p>
    <w:p w:rsidR="001972A7" w:rsidRPr="0034124F" w:rsidRDefault="001972A7" w:rsidP="005C2687">
      <w:pPr>
        <w:pStyle w:val="ListParagraph"/>
        <w:numPr>
          <w:ilvl w:val="0"/>
          <w:numId w:val="18"/>
        </w:numPr>
        <w:spacing w:line="276" w:lineRule="auto"/>
        <w:jc w:val="both"/>
      </w:pPr>
      <w:r w:rsidRPr="00A666D3">
        <w:t>Me propozim të Shkollës së Magjistraturës, u nxorën udhëzime për vlerësimin e cilësisë së veprimtarisë së udhëheqjes.</w:t>
      </w:r>
    </w:p>
    <w:p w:rsidR="001972A7" w:rsidRPr="00EE2DE7" w:rsidRDefault="001972A7" w:rsidP="001972A7">
      <w:pPr>
        <w:spacing w:line="276" w:lineRule="auto"/>
        <w:jc w:val="both"/>
        <w:rPr>
          <w:rFonts w:eastAsia="Calibri"/>
          <w:kern w:val="24"/>
          <w:szCs w:val="23"/>
        </w:rPr>
      </w:pPr>
      <w:r w:rsidRPr="00EE2DE7">
        <w:rPr>
          <w:rFonts w:eastAsia="Calibri"/>
          <w:kern w:val="24"/>
          <w:szCs w:val="23"/>
        </w:rPr>
        <w:t>Për këtë vit akademik 2017-2018, praktikën profesionale kandidatët për magjistratë e kryen përkatësisht:</w:t>
      </w:r>
    </w:p>
    <w:p w:rsidR="001972A7" w:rsidRPr="00EE2DE7" w:rsidRDefault="001972A7" w:rsidP="005C2687">
      <w:pPr>
        <w:numPr>
          <w:ilvl w:val="0"/>
          <w:numId w:val="17"/>
        </w:numPr>
        <w:spacing w:line="276" w:lineRule="auto"/>
        <w:jc w:val="both"/>
        <w:rPr>
          <w:rFonts w:eastAsia="Calibri"/>
          <w:kern w:val="24"/>
          <w:szCs w:val="23"/>
        </w:rPr>
      </w:pPr>
      <w:r w:rsidRPr="00EE2DE7">
        <w:rPr>
          <w:rFonts w:eastAsia="Calibri"/>
          <w:kern w:val="24"/>
          <w:szCs w:val="23"/>
        </w:rPr>
        <w:t xml:space="preserve">Kandidatët për gjyqtarë në Gjykatën e Rrethit Gjyqësor Tiranë, të ndarë në Dhomën Civile dhe Penale, në periudha të ndryshme, Gjykatën Administrative të shkallës së parë Tiranë;  </w:t>
      </w:r>
    </w:p>
    <w:p w:rsidR="00B02831" w:rsidRPr="001972A7" w:rsidRDefault="001972A7" w:rsidP="005C2687">
      <w:pPr>
        <w:numPr>
          <w:ilvl w:val="0"/>
          <w:numId w:val="17"/>
        </w:numPr>
        <w:spacing w:line="276" w:lineRule="auto"/>
        <w:jc w:val="both"/>
        <w:rPr>
          <w:rFonts w:eastAsia="Calibri"/>
          <w:kern w:val="24"/>
          <w:szCs w:val="23"/>
        </w:rPr>
      </w:pPr>
      <w:r w:rsidRPr="00EE2DE7">
        <w:rPr>
          <w:rFonts w:eastAsia="Calibri"/>
          <w:kern w:val="24"/>
          <w:szCs w:val="23"/>
        </w:rPr>
        <w:t xml:space="preserve">Kandidatët për prokurorë, në Prokurorinë e Rrethit Gjyqësor Tiranë. </w:t>
      </w:r>
    </w:p>
    <w:p w:rsidR="00B02831" w:rsidRPr="00036DBB" w:rsidRDefault="00B02831" w:rsidP="00036DBB">
      <w:pPr>
        <w:spacing w:line="276" w:lineRule="auto"/>
        <w:ind w:right="26"/>
        <w:jc w:val="both"/>
        <w:rPr>
          <w:rFonts w:eastAsia="Tw Cen MT"/>
        </w:rPr>
      </w:pPr>
    </w:p>
    <w:p w:rsidR="00B02831" w:rsidRPr="00036DBB" w:rsidRDefault="001972A7" w:rsidP="00036DBB">
      <w:pPr>
        <w:spacing w:line="276" w:lineRule="auto"/>
        <w:ind w:right="26"/>
        <w:jc w:val="both"/>
        <w:rPr>
          <w:rFonts w:eastAsia="Tw Cen MT"/>
        </w:rPr>
      </w:pPr>
      <w:r w:rsidRPr="001972A7">
        <w:rPr>
          <w:rFonts w:eastAsia="Tw Cen MT"/>
          <w:noProof/>
          <w:lang w:eastAsia="en-US"/>
        </w:rPr>
        <w:drawing>
          <wp:inline distT="0" distB="0" distL="0" distR="0">
            <wp:extent cx="3032760" cy="1557973"/>
            <wp:effectExtent l="19050" t="0" r="0" b="0"/>
            <wp:docPr id="14" name="Picture 1" descr="Description: Trajnim me Euralius per Mentoret e Stazhit Profesional te vitit te tret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Trajnim me Euralius per Mentoret e Stazhit Profesional te vitit te trete 7"/>
                    <pic:cNvPicPr>
                      <a:picLocks noChangeAspect="1" noChangeArrowheads="1"/>
                    </pic:cNvPicPr>
                  </pic:nvPicPr>
                  <pic:blipFill>
                    <a:blip r:embed="rId17" cstate="print">
                      <a:lum bright="10000" contrast="10000"/>
                      <a:extLst>
                        <a:ext uri="{28A0092B-C50C-407E-A947-70E740481C1C}">
                          <a14:useLocalDpi xmlns:a14="http://schemas.microsoft.com/office/drawing/2010/main" val="0"/>
                        </a:ext>
                      </a:extLst>
                    </a:blip>
                    <a:srcRect t="23254"/>
                    <a:stretch>
                      <a:fillRect/>
                    </a:stretch>
                  </pic:blipFill>
                  <pic:spPr bwMode="auto">
                    <a:xfrm>
                      <a:off x="0" y="0"/>
                      <a:ext cx="3032760" cy="1557973"/>
                    </a:xfrm>
                    <a:prstGeom prst="rect">
                      <a:avLst/>
                    </a:prstGeom>
                    <a:noFill/>
                    <a:ln>
                      <a:noFill/>
                    </a:ln>
                  </pic:spPr>
                </pic:pic>
              </a:graphicData>
            </a:graphic>
          </wp:inline>
        </w:drawing>
      </w:r>
    </w:p>
    <w:p w:rsidR="00B02831" w:rsidRPr="00036DBB" w:rsidRDefault="001972A7" w:rsidP="00036DBB">
      <w:pPr>
        <w:spacing w:line="276" w:lineRule="auto"/>
        <w:ind w:right="26"/>
        <w:jc w:val="both"/>
        <w:rPr>
          <w:rFonts w:eastAsia="Tw Cen MT"/>
        </w:rPr>
      </w:pPr>
      <w:r>
        <w:rPr>
          <w:rFonts w:eastAsia="MS Mincho"/>
          <w:i/>
          <w:kern w:val="24"/>
          <w:szCs w:val="20"/>
        </w:rPr>
        <w:t xml:space="preserve">  Figura nr.7 </w:t>
      </w:r>
      <w:r w:rsidRPr="001972A7">
        <w:rPr>
          <w:rFonts w:eastAsia="MS Mincho"/>
          <w:i/>
          <w:kern w:val="24"/>
          <w:sz w:val="20"/>
          <w:szCs w:val="20"/>
        </w:rPr>
        <w:t>Trajnim për mentorët, Shkolla e Magjistraturës në bashkëpunim me EURALIUS-in, 7 korrik 2017</w:t>
      </w:r>
    </w:p>
    <w:p w:rsidR="00B02831" w:rsidRPr="00036DBB" w:rsidRDefault="00B02831" w:rsidP="00036DBB">
      <w:pPr>
        <w:spacing w:line="276" w:lineRule="auto"/>
        <w:ind w:right="26"/>
        <w:jc w:val="both"/>
        <w:rPr>
          <w:rFonts w:eastAsia="Tw Cen MT"/>
        </w:rPr>
      </w:pPr>
    </w:p>
    <w:p w:rsidR="00EF53DA" w:rsidRPr="00EE2DE7" w:rsidRDefault="00EF53DA" w:rsidP="00EF53DA">
      <w:pPr>
        <w:spacing w:after="200" w:line="276" w:lineRule="auto"/>
        <w:jc w:val="both"/>
        <w:rPr>
          <w:rFonts w:eastAsia="MS Mincho"/>
          <w:b/>
          <w:kern w:val="24"/>
        </w:rPr>
      </w:pPr>
      <w:r w:rsidRPr="00EE2DE7">
        <w:rPr>
          <w:rFonts w:eastAsia="MS Mincho"/>
          <w:b/>
          <w:kern w:val="24"/>
          <w:lang w:eastAsia="en-GB"/>
        </w:rPr>
        <w:t xml:space="preserve">Vlerësimi në </w:t>
      </w:r>
      <w:r w:rsidRPr="00EE2DE7">
        <w:rPr>
          <w:rFonts w:eastAsia="MS Mincho"/>
          <w:b/>
          <w:kern w:val="24"/>
        </w:rPr>
        <w:t>vitin e tretë</w:t>
      </w:r>
      <w:r w:rsidRPr="00EE2DE7">
        <w:rPr>
          <w:rFonts w:eastAsia="MS Mincho"/>
          <w:b/>
          <w:kern w:val="24"/>
          <w:vertAlign w:val="superscript"/>
        </w:rPr>
        <w:footnoteReference w:id="2"/>
      </w:r>
    </w:p>
    <w:p w:rsidR="00EF53DA" w:rsidRPr="0034124F" w:rsidRDefault="00EF53DA" w:rsidP="005C2687">
      <w:pPr>
        <w:pStyle w:val="ListParagraph"/>
        <w:numPr>
          <w:ilvl w:val="0"/>
          <w:numId w:val="21"/>
        </w:numPr>
        <w:autoSpaceDE w:val="0"/>
        <w:autoSpaceDN w:val="0"/>
        <w:adjustRightInd w:val="0"/>
        <w:spacing w:line="276" w:lineRule="auto"/>
        <w:ind w:right="237"/>
        <w:jc w:val="both"/>
        <w:rPr>
          <w:rFonts w:eastAsia="MS Mincho"/>
        </w:rPr>
      </w:pPr>
      <w:r w:rsidRPr="0034124F">
        <w:rPr>
          <w:rFonts w:eastAsia="MS Mincho"/>
        </w:rPr>
        <w:lastRenderedPageBreak/>
        <w:t>Në vitin e tretë, vlerësimi i kandidatëve magjistratë u krye nga magjistrati udhëheqës.</w:t>
      </w:r>
    </w:p>
    <w:p w:rsidR="00EF53DA" w:rsidRPr="00EE2DE7" w:rsidRDefault="00EF53DA" w:rsidP="00EF53DA">
      <w:pPr>
        <w:autoSpaceDE w:val="0"/>
        <w:autoSpaceDN w:val="0"/>
        <w:adjustRightInd w:val="0"/>
        <w:spacing w:line="276" w:lineRule="auto"/>
        <w:ind w:right="237"/>
        <w:jc w:val="both"/>
        <w:rPr>
          <w:rFonts w:eastAsia="MS Mincho"/>
          <w:kern w:val="24"/>
        </w:rPr>
      </w:pPr>
      <w:r w:rsidRPr="00EE2DE7">
        <w:rPr>
          <w:rFonts w:eastAsia="MS Mincho"/>
          <w:kern w:val="24"/>
        </w:rPr>
        <w:t xml:space="preserve">Magjistrati udhëheqës bëri vlerësimin etik dhe profesional, si dhe të cilësisë së kandidatëve për magjistratë, me qëllim garantimin e një formimi sa më të mirë të tyre. </w:t>
      </w:r>
    </w:p>
    <w:p w:rsidR="00EF53DA" w:rsidRPr="0034124F" w:rsidRDefault="00EF53DA" w:rsidP="005C2687">
      <w:pPr>
        <w:pStyle w:val="ListParagraph"/>
        <w:numPr>
          <w:ilvl w:val="0"/>
          <w:numId w:val="21"/>
        </w:numPr>
        <w:autoSpaceDE w:val="0"/>
        <w:autoSpaceDN w:val="0"/>
        <w:adjustRightInd w:val="0"/>
        <w:spacing w:line="276" w:lineRule="auto"/>
        <w:ind w:right="237"/>
        <w:jc w:val="both"/>
        <w:rPr>
          <w:rFonts w:eastAsia="MS Mincho"/>
        </w:rPr>
      </w:pPr>
      <w:r w:rsidRPr="0034124F">
        <w:rPr>
          <w:rFonts w:eastAsia="MS Mincho"/>
        </w:rPr>
        <w:t>Kriteret e vlerësimit bëhen në bazë të kritereve të pë</w:t>
      </w:r>
      <w:r>
        <w:rPr>
          <w:rFonts w:eastAsia="MS Mincho"/>
        </w:rPr>
        <w:t>rcaktuara në nenin 71 të ligjit nr.</w:t>
      </w:r>
      <w:r w:rsidRPr="0034124F">
        <w:rPr>
          <w:rFonts w:eastAsia="MS Mincho"/>
        </w:rPr>
        <w:t>96/2016, “</w:t>
      </w:r>
      <w:r w:rsidRPr="0034124F">
        <w:rPr>
          <w:rFonts w:eastAsia="MS Mincho"/>
          <w:i/>
        </w:rPr>
        <w:t>Për statusin e gjyqtarit dhe prokurorit në Republikën e Shqipërisë</w:t>
      </w:r>
      <w:r w:rsidRPr="0034124F">
        <w:rPr>
          <w:rFonts w:eastAsia="MS Mincho"/>
        </w:rPr>
        <w:t>”:</w:t>
      </w:r>
    </w:p>
    <w:p w:rsidR="00EF53DA" w:rsidRPr="00EE2DE7" w:rsidRDefault="00EF53DA" w:rsidP="00EF53DA">
      <w:pPr>
        <w:autoSpaceDE w:val="0"/>
        <w:autoSpaceDN w:val="0"/>
        <w:adjustRightInd w:val="0"/>
        <w:spacing w:line="276" w:lineRule="auto"/>
        <w:ind w:left="567" w:right="237"/>
        <w:jc w:val="both"/>
        <w:rPr>
          <w:rFonts w:eastAsia="MS Mincho"/>
          <w:kern w:val="24"/>
        </w:rPr>
      </w:pPr>
      <w:r w:rsidRPr="00EE2DE7">
        <w:rPr>
          <w:rFonts w:eastAsia="MS Mincho"/>
          <w:kern w:val="24"/>
        </w:rPr>
        <w:t>a) aftësitë profesionale të gjyqtarit dhe prokurorit;</w:t>
      </w:r>
    </w:p>
    <w:p w:rsidR="00EF53DA" w:rsidRPr="00EE2DE7" w:rsidRDefault="00EF53DA" w:rsidP="00EF53DA">
      <w:pPr>
        <w:autoSpaceDE w:val="0"/>
        <w:autoSpaceDN w:val="0"/>
        <w:adjustRightInd w:val="0"/>
        <w:spacing w:line="276" w:lineRule="auto"/>
        <w:ind w:left="567" w:right="237"/>
        <w:jc w:val="both"/>
        <w:rPr>
          <w:rFonts w:eastAsia="MS Mincho"/>
          <w:kern w:val="24"/>
        </w:rPr>
      </w:pPr>
      <w:r w:rsidRPr="00EE2DE7">
        <w:rPr>
          <w:rFonts w:eastAsia="MS Mincho"/>
          <w:kern w:val="24"/>
        </w:rPr>
        <w:t>b) aftësitë organizative;</w:t>
      </w:r>
    </w:p>
    <w:p w:rsidR="00EF53DA" w:rsidRPr="00EE2DE7" w:rsidRDefault="00EF53DA" w:rsidP="00EF53DA">
      <w:pPr>
        <w:autoSpaceDE w:val="0"/>
        <w:autoSpaceDN w:val="0"/>
        <w:adjustRightInd w:val="0"/>
        <w:spacing w:line="276" w:lineRule="auto"/>
        <w:ind w:left="567" w:right="237"/>
        <w:jc w:val="both"/>
        <w:rPr>
          <w:rFonts w:eastAsia="MS Mincho"/>
          <w:kern w:val="24"/>
        </w:rPr>
      </w:pPr>
      <w:r w:rsidRPr="00EE2DE7">
        <w:rPr>
          <w:rFonts w:eastAsia="MS Mincho"/>
          <w:kern w:val="24"/>
        </w:rPr>
        <w:t>c) etika dhe angazhimi ndaj vlerave profesionale të gjyqtarit dhe prokurorit;</w:t>
      </w:r>
    </w:p>
    <w:p w:rsidR="00EF53DA" w:rsidRPr="007105F6" w:rsidRDefault="00EF53DA" w:rsidP="00EF53DA">
      <w:pPr>
        <w:autoSpaceDE w:val="0"/>
        <w:autoSpaceDN w:val="0"/>
        <w:adjustRightInd w:val="0"/>
        <w:spacing w:line="276" w:lineRule="auto"/>
        <w:ind w:left="567" w:right="237"/>
        <w:jc w:val="both"/>
        <w:rPr>
          <w:rFonts w:eastAsia="MS Mincho"/>
          <w:kern w:val="24"/>
        </w:rPr>
      </w:pPr>
      <w:r w:rsidRPr="00EE2DE7">
        <w:rPr>
          <w:rFonts w:eastAsia="MS Mincho"/>
          <w:kern w:val="24"/>
        </w:rPr>
        <w:t>ç) aftësitë personale dhe angazhimi profesional.</w:t>
      </w:r>
    </w:p>
    <w:p w:rsidR="00EF53DA" w:rsidRPr="0034124F" w:rsidRDefault="00EF53DA" w:rsidP="005C2687">
      <w:pPr>
        <w:pStyle w:val="ListParagraph"/>
        <w:numPr>
          <w:ilvl w:val="0"/>
          <w:numId w:val="21"/>
        </w:numPr>
        <w:spacing w:line="276" w:lineRule="auto"/>
        <w:ind w:right="283"/>
        <w:jc w:val="both"/>
        <w:rPr>
          <w:rFonts w:eastAsia="Tw Cen MT"/>
        </w:rPr>
      </w:pPr>
      <w:r w:rsidRPr="0034124F">
        <w:rPr>
          <w:rFonts w:eastAsia="Tw Cen MT"/>
        </w:rPr>
        <w:t xml:space="preserve">Vlerësimi i kandidatëve për magjistratë bëhet sipas kategorive që vijojnë: </w:t>
      </w:r>
    </w:p>
    <w:p w:rsidR="00EF53DA" w:rsidRPr="00EE2DE7" w:rsidRDefault="00EF53DA" w:rsidP="00EF53DA">
      <w:pPr>
        <w:spacing w:line="276" w:lineRule="auto"/>
        <w:ind w:left="567" w:right="283"/>
        <w:jc w:val="both"/>
        <w:rPr>
          <w:rFonts w:eastAsia="Tw Cen MT"/>
          <w:kern w:val="24"/>
        </w:rPr>
      </w:pPr>
      <w:r w:rsidRPr="00EE2DE7">
        <w:rPr>
          <w:rFonts w:eastAsia="Tw Cen MT"/>
          <w:kern w:val="24"/>
        </w:rPr>
        <w:t xml:space="preserve">a) “shkëlqyeshëm”, në rast të një performance etike dhe profesionale jashtëzakonisht të mirë; </w:t>
      </w:r>
    </w:p>
    <w:p w:rsidR="00EF53DA" w:rsidRPr="00EE2DE7" w:rsidRDefault="00EF53DA" w:rsidP="00EF53DA">
      <w:pPr>
        <w:spacing w:line="276" w:lineRule="auto"/>
        <w:ind w:left="567" w:right="283"/>
        <w:jc w:val="both"/>
        <w:rPr>
          <w:rFonts w:eastAsia="Tw Cen MT"/>
          <w:kern w:val="24"/>
        </w:rPr>
      </w:pPr>
      <w:r w:rsidRPr="00EE2DE7">
        <w:rPr>
          <w:rFonts w:eastAsia="Tw Cen MT"/>
          <w:kern w:val="24"/>
        </w:rPr>
        <w:t xml:space="preserve">b) “shumë mirë”, në rast të një performance etike dhe profesionale mbi mesataren; </w:t>
      </w:r>
    </w:p>
    <w:p w:rsidR="00EF53DA" w:rsidRPr="00EE2DE7" w:rsidRDefault="00EF53DA" w:rsidP="00EF53DA">
      <w:pPr>
        <w:spacing w:line="276" w:lineRule="auto"/>
        <w:ind w:left="567" w:right="283"/>
        <w:jc w:val="both"/>
        <w:rPr>
          <w:rFonts w:eastAsia="Tw Cen MT"/>
          <w:kern w:val="24"/>
        </w:rPr>
      </w:pPr>
      <w:r w:rsidRPr="00EE2DE7">
        <w:rPr>
          <w:rFonts w:eastAsia="Tw Cen MT"/>
          <w:kern w:val="24"/>
        </w:rPr>
        <w:t xml:space="preserve">c) “mirë”, në rast të një performance etike dhe profesionale mesatare; </w:t>
      </w:r>
    </w:p>
    <w:p w:rsidR="00EF53DA" w:rsidRPr="00EE2DE7" w:rsidRDefault="00EF53DA" w:rsidP="00EF53DA">
      <w:pPr>
        <w:spacing w:line="276" w:lineRule="auto"/>
        <w:ind w:left="567" w:right="283"/>
        <w:jc w:val="both"/>
        <w:rPr>
          <w:rFonts w:eastAsia="Tw Cen MT"/>
          <w:kern w:val="24"/>
        </w:rPr>
      </w:pPr>
      <w:r w:rsidRPr="00EE2DE7">
        <w:rPr>
          <w:rFonts w:eastAsia="Tw Cen MT"/>
          <w:kern w:val="24"/>
        </w:rPr>
        <w:t xml:space="preserve">ç) “mjaftueshëm”, në rast të një performance etike dhe profesionale nën mesataren; </w:t>
      </w:r>
    </w:p>
    <w:p w:rsidR="00EF53DA" w:rsidRPr="00EE2DE7" w:rsidRDefault="00EF53DA" w:rsidP="00EF53DA">
      <w:pPr>
        <w:spacing w:line="276" w:lineRule="auto"/>
        <w:ind w:left="567" w:right="283"/>
        <w:jc w:val="both"/>
        <w:rPr>
          <w:rFonts w:eastAsia="Tw Cen MT"/>
          <w:kern w:val="24"/>
        </w:rPr>
      </w:pPr>
      <w:r w:rsidRPr="00EE2DE7">
        <w:rPr>
          <w:rFonts w:eastAsia="Tw Cen MT"/>
          <w:kern w:val="24"/>
        </w:rPr>
        <w:t xml:space="preserve">d) “i pamjaftueshëm”, në rast të një performance etike dhe profesionale jashtëzakonisht të dobët. </w:t>
      </w:r>
    </w:p>
    <w:p w:rsidR="00EF53DA" w:rsidRPr="00D3591C" w:rsidRDefault="00EF53DA" w:rsidP="005C2687">
      <w:pPr>
        <w:pStyle w:val="ListParagraph"/>
        <w:numPr>
          <w:ilvl w:val="0"/>
          <w:numId w:val="22"/>
        </w:numPr>
        <w:spacing w:line="276" w:lineRule="auto"/>
        <w:ind w:right="283"/>
        <w:jc w:val="both"/>
      </w:pPr>
      <w:r w:rsidRPr="00D3591C">
        <w:t xml:space="preserve">Vlerësimi i përgjithshëm “shkëlqyeshëm” jepet në ato raste kur magjistrati është vlerësuar “shkëlqyeshëm” për të katërta kriteret. </w:t>
      </w:r>
    </w:p>
    <w:p w:rsidR="00EF53DA" w:rsidRPr="00D3591C" w:rsidRDefault="00EF53DA" w:rsidP="005C2687">
      <w:pPr>
        <w:pStyle w:val="ListParagraph"/>
        <w:numPr>
          <w:ilvl w:val="0"/>
          <w:numId w:val="22"/>
        </w:numPr>
        <w:spacing w:line="276" w:lineRule="auto"/>
        <w:ind w:right="283"/>
        <w:jc w:val="both"/>
      </w:pPr>
      <w:r w:rsidRPr="00D3591C">
        <w:t xml:space="preserve">Vlerësimi i përgjithshëm “shumë mirë” jepet vetëm në ato raste kur magjistrati </w:t>
      </w:r>
      <w:r w:rsidRPr="00D3591C">
        <w:t xml:space="preserve">vlerësohet “shumë mirë” për tri kritere dhe “mirë” për njërin prej tyre dhe, në çdo rast, nëse kryetari i gjykatës nuk ka dhënë për gjyqtarin vlerësimin përfundimtar “i pamjaftueshëm”. Në çdo rast, kriteret “aftësitë profesionale të gjyqtarit dhe prokurorit” dhe “etika dhe angazhimi ndaj vlerave të gjyqësorit dhe të prokurorisë” duhet të jenë vlerësuar “shumë mirë”. </w:t>
      </w:r>
    </w:p>
    <w:p w:rsidR="00EF53DA" w:rsidRPr="00D3591C" w:rsidRDefault="00EF53DA" w:rsidP="005C2687">
      <w:pPr>
        <w:pStyle w:val="ListParagraph"/>
        <w:numPr>
          <w:ilvl w:val="0"/>
          <w:numId w:val="22"/>
        </w:numPr>
        <w:spacing w:line="276" w:lineRule="auto"/>
        <w:ind w:right="283"/>
        <w:jc w:val="both"/>
      </w:pPr>
      <w:r w:rsidRPr="00D3591C">
        <w:t xml:space="preserve">Vlerësimi i përgjithshëm “mirë” jepet në rastin kur aftësitë e magjistratit vlerësohen “mirë” për dy kritere dhe “mjaftueshëm” për dy kriteret e tjera. I njëjti rregull zbatohet edhe në rastin kur ka barazi në vlerësimin e kritereve në nivelet “mjaftueshëm” dhe “i pamjaftueshëm”, me përjashtim të rastit kur parashikohet ndryshe në pikën 3, të këtij neni. Në çdo rast, kriteret “aftësitë gjyqësore ose të prokurorisë” dhe “etika dhe përkushtimi ndaj vlerave të gjyqësorit ose të prokurorisë” duhet të vlerësohen të paktën “shumë mirë”. </w:t>
      </w:r>
    </w:p>
    <w:p w:rsidR="00EF53DA" w:rsidRPr="00EF53DA" w:rsidRDefault="00EF53DA" w:rsidP="005C2687">
      <w:pPr>
        <w:pStyle w:val="ListParagraph"/>
        <w:numPr>
          <w:ilvl w:val="0"/>
          <w:numId w:val="22"/>
        </w:numPr>
        <w:spacing w:line="276" w:lineRule="auto"/>
        <w:ind w:right="283"/>
        <w:jc w:val="both"/>
      </w:pPr>
      <w:r w:rsidRPr="00D3591C">
        <w:t>Vlerësimi i përgjithshëm “i pamjaftueshëm” jepet në këto raste: a) kur magjistrati vlerësohet “i pamjaftueshëm” për të paktën në 3 kritere; b) kur magjistrati vlerësohet “i pamjaftueshëm” për kriteret “aftësitë profesionale të gjyqtarit dhe prokurorit” dhe “etika dhe angazhimi ndaj vlerave të gjyqësorit ose të prokurorisë” dhe jo më shumë se “mirë” për dy kriteret e tjera. Në çdo rast, vlerësimi “i pamjaftueshëm” nuk i jepet magjistratit nëse kryetari i gjykatës e ka vlerësuar magjistratin “shumë mirë”.</w:t>
      </w:r>
    </w:p>
    <w:p w:rsidR="00EF53DA" w:rsidRPr="0034124F" w:rsidRDefault="00EF53DA" w:rsidP="005C2687">
      <w:pPr>
        <w:pStyle w:val="ListParagraph"/>
        <w:numPr>
          <w:ilvl w:val="0"/>
          <w:numId w:val="21"/>
        </w:numPr>
        <w:spacing w:line="276" w:lineRule="auto"/>
        <w:ind w:right="283"/>
        <w:jc w:val="both"/>
        <w:rPr>
          <w:rFonts w:eastAsia="Tw Cen MT"/>
        </w:rPr>
      </w:pPr>
      <w:r w:rsidRPr="0034124F">
        <w:rPr>
          <w:rFonts w:eastAsia="Tw Cen MT"/>
        </w:rPr>
        <w:t xml:space="preserve">Vlerësimi për secilin kandidat për magjistrat bëhet nga tre magjistratë udhëheqës, përkatësisht sipas </w:t>
      </w:r>
      <w:r w:rsidRPr="0034124F">
        <w:rPr>
          <w:rFonts w:eastAsia="Tw Cen MT"/>
        </w:rPr>
        <w:lastRenderedPageBreak/>
        <w:t>periudhave katër mujore në të cilat realizohet praktika profesionale. Çdo magjistrat udhëheqës vlerëson me 100 pikë kandidatin për magjistrat, në bazë të kritereve dhe niveleve të përcaktuara në ligjin, “</w:t>
      </w:r>
      <w:r w:rsidRPr="0034124F">
        <w:rPr>
          <w:rFonts w:eastAsia="Tw Cen MT"/>
          <w:i/>
        </w:rPr>
        <w:t>Për statusin e gjyqtarëve dhe prokurorëve në Republikën e Shqipërisë</w:t>
      </w:r>
      <w:r w:rsidRPr="0034124F">
        <w:rPr>
          <w:rFonts w:eastAsia="Tw Cen MT"/>
        </w:rPr>
        <w:t>”. Në total vlerësimi i bërë nga tre magjistratët udhëheqës është 300 pikë.</w:t>
      </w:r>
    </w:p>
    <w:p w:rsidR="00EF53DA" w:rsidRPr="0034124F" w:rsidRDefault="00EF53DA" w:rsidP="005C2687">
      <w:pPr>
        <w:pStyle w:val="ListParagraph"/>
        <w:numPr>
          <w:ilvl w:val="0"/>
          <w:numId w:val="21"/>
        </w:numPr>
        <w:spacing w:line="276" w:lineRule="auto"/>
        <w:ind w:right="283"/>
        <w:jc w:val="both"/>
        <w:rPr>
          <w:rFonts w:eastAsia="Tw Cen MT"/>
        </w:rPr>
      </w:pPr>
      <w:r w:rsidRPr="0034124F">
        <w:rPr>
          <w:rFonts w:eastAsia="Tw Cen MT"/>
        </w:rPr>
        <w:t>Llogaritja e pikëve finale për çdo nivel të çdo kandidati del si rezultat i shumëzimit të shumës së tri vlerësimeve të magjistratëve udhëheqës me koeficientin e vështirësisë 2:</w:t>
      </w:r>
      <w:r w:rsidRPr="0034124F">
        <w:rPr>
          <w:rFonts w:eastAsia="Tw Cen MT"/>
        </w:rPr>
        <w:tab/>
      </w:r>
      <w:r w:rsidRPr="0034124F">
        <w:rPr>
          <w:rFonts w:eastAsia="Tw Cen MT"/>
        </w:rPr>
        <w:tab/>
      </w:r>
    </w:p>
    <w:p w:rsidR="00EF53DA" w:rsidRPr="00EE2DE7" w:rsidRDefault="00EF53DA" w:rsidP="00EF53DA">
      <w:pPr>
        <w:spacing w:line="276" w:lineRule="auto"/>
        <w:ind w:right="283"/>
        <w:jc w:val="both"/>
        <w:rPr>
          <w:rFonts w:eastAsia="Tw Cen MT"/>
          <w:kern w:val="24"/>
        </w:rPr>
      </w:pPr>
      <w:r w:rsidRPr="00EE2DE7">
        <w:rPr>
          <w:rFonts w:eastAsia="Tw Cen MT"/>
          <w:kern w:val="24"/>
        </w:rPr>
        <w:t>Niveli “</w:t>
      </w:r>
      <w:r w:rsidRPr="007105F6">
        <w:rPr>
          <w:rFonts w:eastAsia="Tw Cen MT"/>
          <w:i/>
          <w:kern w:val="24"/>
        </w:rPr>
        <w:t>Shkëlqyeshëm</w:t>
      </w:r>
      <w:r w:rsidRPr="00EE2DE7">
        <w:rPr>
          <w:rFonts w:eastAsia="Tw Cen MT"/>
          <w:kern w:val="24"/>
        </w:rPr>
        <w:t>” është 300 (treqind) pikë, i ponderuar me koeficientin 2=600 pikë;</w:t>
      </w:r>
    </w:p>
    <w:p w:rsidR="00EF53DA" w:rsidRPr="00EE2DE7" w:rsidRDefault="00EF53DA" w:rsidP="00EF53DA">
      <w:pPr>
        <w:spacing w:line="276" w:lineRule="auto"/>
        <w:ind w:right="283"/>
        <w:jc w:val="both"/>
        <w:rPr>
          <w:rFonts w:eastAsia="Tw Cen MT"/>
          <w:kern w:val="24"/>
        </w:rPr>
      </w:pPr>
      <w:r w:rsidRPr="00EE2DE7">
        <w:rPr>
          <w:rFonts w:eastAsia="Tw Cen MT"/>
          <w:kern w:val="24"/>
        </w:rPr>
        <w:t>Niveli “</w:t>
      </w:r>
      <w:r w:rsidRPr="007105F6">
        <w:rPr>
          <w:rFonts w:eastAsia="Tw Cen MT"/>
          <w:i/>
          <w:kern w:val="24"/>
        </w:rPr>
        <w:t>Shumë mirë</w:t>
      </w:r>
      <w:r w:rsidRPr="00EE2DE7">
        <w:rPr>
          <w:rFonts w:eastAsia="Tw Cen MT"/>
          <w:kern w:val="24"/>
        </w:rPr>
        <w:t xml:space="preserve">” </w:t>
      </w:r>
      <w:r w:rsidRPr="00EE2DE7">
        <w:rPr>
          <w:rFonts w:eastAsia="Tw Cen MT"/>
          <w:kern w:val="24"/>
        </w:rPr>
        <w:tab/>
        <w:t xml:space="preserve">është 270-299 (dyqind e shtatëdhjetë deri në dyqind e nëntëdhjetë e nëntë) pikë, i ponderuar me koeficientin 2=540-598 pikë; </w:t>
      </w:r>
    </w:p>
    <w:p w:rsidR="00EF53DA" w:rsidRPr="00EE2DE7" w:rsidRDefault="00EF53DA" w:rsidP="00EF53DA">
      <w:pPr>
        <w:spacing w:line="276" w:lineRule="auto"/>
        <w:ind w:right="283"/>
        <w:jc w:val="both"/>
        <w:rPr>
          <w:rFonts w:eastAsia="Tw Cen MT"/>
          <w:kern w:val="24"/>
        </w:rPr>
      </w:pPr>
      <w:r w:rsidRPr="00EE2DE7">
        <w:rPr>
          <w:rFonts w:eastAsia="Tw Cen MT"/>
          <w:kern w:val="24"/>
        </w:rPr>
        <w:t>Niveli “</w:t>
      </w:r>
      <w:r w:rsidRPr="007105F6">
        <w:rPr>
          <w:rFonts w:eastAsia="Tw Cen MT"/>
          <w:i/>
          <w:kern w:val="24"/>
        </w:rPr>
        <w:t>Mirë</w:t>
      </w:r>
      <w:r w:rsidRPr="00EE2DE7">
        <w:rPr>
          <w:rFonts w:eastAsia="Tw Cen MT"/>
          <w:kern w:val="24"/>
        </w:rPr>
        <w:t xml:space="preserve">” është 210-269 (dyqind e dhjetë deri në dy qind e gjashtëdhjetë e nëntë pikë), i ponderuar me koeficientin 2=420-538 pikë; </w:t>
      </w:r>
    </w:p>
    <w:p w:rsidR="00EF53DA" w:rsidRPr="00EE2DE7" w:rsidRDefault="00EF53DA" w:rsidP="00EF53DA">
      <w:pPr>
        <w:spacing w:line="276" w:lineRule="auto"/>
        <w:ind w:right="283"/>
        <w:jc w:val="both"/>
        <w:rPr>
          <w:rFonts w:eastAsia="Tw Cen MT"/>
          <w:kern w:val="24"/>
        </w:rPr>
      </w:pPr>
      <w:r w:rsidRPr="00EE2DE7">
        <w:rPr>
          <w:rFonts w:eastAsia="Tw Cen MT"/>
          <w:kern w:val="24"/>
        </w:rPr>
        <w:t>Niveli “</w:t>
      </w:r>
      <w:r w:rsidRPr="007105F6">
        <w:rPr>
          <w:rFonts w:eastAsia="Tw Cen MT"/>
          <w:i/>
          <w:kern w:val="24"/>
        </w:rPr>
        <w:t>Mjaftueshëm</w:t>
      </w:r>
      <w:r w:rsidRPr="00EE2DE7">
        <w:rPr>
          <w:rFonts w:eastAsia="Tw Cen MT"/>
          <w:kern w:val="24"/>
        </w:rPr>
        <w:t>” është 150-219 (njëqind e pesëdhjetë deri në dyqind e nëntëmbëdhjetë) pikë, i ponderuar me koeficientin 2 = 300-418;</w:t>
      </w:r>
    </w:p>
    <w:p w:rsidR="00EF53DA" w:rsidRDefault="00EF53DA" w:rsidP="00EF53DA">
      <w:pPr>
        <w:spacing w:line="276" w:lineRule="auto"/>
        <w:ind w:right="283"/>
        <w:jc w:val="both"/>
        <w:rPr>
          <w:rFonts w:eastAsia="Tw Cen MT"/>
          <w:kern w:val="24"/>
        </w:rPr>
      </w:pPr>
      <w:r w:rsidRPr="00EE2DE7">
        <w:rPr>
          <w:rFonts w:eastAsia="Tw Cen MT"/>
          <w:kern w:val="24"/>
        </w:rPr>
        <w:t>Niveli “</w:t>
      </w:r>
      <w:r w:rsidRPr="007105F6">
        <w:rPr>
          <w:rFonts w:eastAsia="Tw Cen MT"/>
          <w:i/>
          <w:kern w:val="24"/>
        </w:rPr>
        <w:t>I pamjaftueshëm</w:t>
      </w:r>
      <w:r w:rsidRPr="00EE2DE7">
        <w:rPr>
          <w:rFonts w:eastAsia="Tw Cen MT"/>
          <w:kern w:val="24"/>
        </w:rPr>
        <w:t>” është 0 - 149 (zero deri në një qind e dyzetë e nëntë) pikë, i ponderuar me koeficientin 2=0-148.</w:t>
      </w:r>
    </w:p>
    <w:p w:rsidR="00EF53DA" w:rsidRPr="00D3591C" w:rsidRDefault="00EF53DA" w:rsidP="00EF53DA">
      <w:pPr>
        <w:spacing w:line="276" w:lineRule="auto"/>
        <w:ind w:right="283"/>
        <w:jc w:val="both"/>
        <w:rPr>
          <w:rFonts w:eastAsia="Tw Cen MT"/>
          <w:kern w:val="24"/>
        </w:rPr>
      </w:pPr>
    </w:p>
    <w:p w:rsidR="00EF53DA" w:rsidRPr="007105F6" w:rsidRDefault="00EF53DA" w:rsidP="00EF53DA">
      <w:pPr>
        <w:spacing w:line="276" w:lineRule="auto"/>
        <w:ind w:right="283"/>
        <w:contextualSpacing/>
        <w:jc w:val="both"/>
        <w:rPr>
          <w:rFonts w:eastAsia="Tw Cen MT"/>
          <w:b/>
          <w:kern w:val="24"/>
          <w:szCs w:val="28"/>
        </w:rPr>
      </w:pPr>
      <w:r w:rsidRPr="007105F6">
        <w:rPr>
          <w:rFonts w:eastAsia="Tw Cen MT"/>
          <w:b/>
          <w:kern w:val="24"/>
          <w:szCs w:val="28"/>
        </w:rPr>
        <w:t>Vlerësimi përfundimtar i kandidatëve për magjistratë</w:t>
      </w:r>
    </w:p>
    <w:p w:rsidR="00EF53DA" w:rsidRPr="00EE2DE7" w:rsidRDefault="00EF53DA" w:rsidP="00EF53DA">
      <w:pPr>
        <w:spacing w:line="276" w:lineRule="auto"/>
        <w:ind w:right="283"/>
        <w:jc w:val="both"/>
        <w:rPr>
          <w:rFonts w:eastAsia="Tw Cen MT"/>
          <w:kern w:val="24"/>
          <w:sz w:val="16"/>
          <w:szCs w:val="16"/>
        </w:rPr>
      </w:pPr>
    </w:p>
    <w:p w:rsidR="00EF53DA" w:rsidRPr="00EE2DE7" w:rsidRDefault="00EF53DA" w:rsidP="00EF53DA">
      <w:pPr>
        <w:spacing w:line="276" w:lineRule="auto"/>
        <w:ind w:right="283"/>
        <w:jc w:val="both"/>
        <w:rPr>
          <w:rFonts w:eastAsia="Tw Cen MT"/>
          <w:kern w:val="24"/>
        </w:rPr>
      </w:pPr>
      <w:r w:rsidRPr="00EE2DE7">
        <w:rPr>
          <w:rFonts w:eastAsia="Tw Cen MT"/>
          <w:b/>
          <w:kern w:val="24"/>
        </w:rPr>
        <w:t>1.</w:t>
      </w:r>
      <w:r>
        <w:rPr>
          <w:rFonts w:eastAsia="Tw Cen MT"/>
          <w:b/>
          <w:kern w:val="24"/>
        </w:rPr>
        <w:t xml:space="preserve"> </w:t>
      </w:r>
      <w:r w:rsidRPr="00EE2DE7">
        <w:rPr>
          <w:rFonts w:eastAsia="Tw Cen MT"/>
          <w:kern w:val="24"/>
        </w:rPr>
        <w:t xml:space="preserve"> Këshilli Pedagogjik me vendimin nr. 1, datë 26.6.2018, bëri vlerësimin përfundimtar për të tri vitet, në bazë të rezultateve të provimeve të vitit të parë, të rezultateve të vitit të dytë si dhe pikëve të vitit të tretë të stazhit profesional, sipas sistemit me 5 nivele, mbi bazën e një renditje përfundimtare të tyre me pikë.</w:t>
      </w:r>
    </w:p>
    <w:p w:rsidR="00EF53DA" w:rsidRPr="00EE2DE7" w:rsidRDefault="00EF53DA" w:rsidP="00EF53DA">
      <w:pPr>
        <w:spacing w:line="276" w:lineRule="auto"/>
        <w:ind w:right="283"/>
        <w:jc w:val="both"/>
        <w:rPr>
          <w:rFonts w:eastAsia="Tw Cen MT"/>
          <w:kern w:val="24"/>
        </w:rPr>
      </w:pPr>
      <w:r w:rsidRPr="00EE2DE7">
        <w:rPr>
          <w:rFonts w:eastAsia="Tw Cen MT"/>
          <w:b/>
          <w:kern w:val="24"/>
        </w:rPr>
        <w:t>2.</w:t>
      </w:r>
      <w:r w:rsidRPr="00EE2DE7">
        <w:rPr>
          <w:rFonts w:eastAsia="Tw Cen MT"/>
          <w:kern w:val="24"/>
        </w:rPr>
        <w:t xml:space="preserve"> Vlerësimi total i të gjithë komponentëve të vitit të parë, të dytë dhe të tretë u bë me vendim të Këshillit Pedagogjik në fund të vitit akademik dhe është shumatorja e:</w:t>
      </w:r>
    </w:p>
    <w:p w:rsidR="00EF53DA" w:rsidRPr="00EE2DE7" w:rsidRDefault="00EF53DA" w:rsidP="00EF53DA">
      <w:pPr>
        <w:spacing w:line="276" w:lineRule="auto"/>
        <w:ind w:left="426" w:right="283"/>
        <w:jc w:val="both"/>
        <w:rPr>
          <w:rFonts w:eastAsia="Tw Cen MT"/>
          <w:kern w:val="24"/>
        </w:rPr>
      </w:pPr>
      <w:r w:rsidRPr="00EE2DE7">
        <w:rPr>
          <w:rFonts w:eastAsia="Tw Cen MT"/>
          <w:kern w:val="24"/>
        </w:rPr>
        <w:t>a)</w:t>
      </w:r>
      <w:r w:rsidRPr="00EE2DE7">
        <w:rPr>
          <w:rFonts w:eastAsia="Tw Cen MT"/>
          <w:kern w:val="24"/>
        </w:rPr>
        <w:tab/>
        <w:t xml:space="preserve">2250 pikëve të vitit të parë; </w:t>
      </w:r>
    </w:p>
    <w:p w:rsidR="00EF53DA" w:rsidRPr="00EE2DE7" w:rsidRDefault="00EF53DA" w:rsidP="00EF53DA">
      <w:pPr>
        <w:spacing w:line="276" w:lineRule="auto"/>
        <w:ind w:left="426" w:right="283"/>
        <w:jc w:val="both"/>
        <w:rPr>
          <w:rFonts w:eastAsia="Tw Cen MT"/>
          <w:kern w:val="24"/>
        </w:rPr>
      </w:pPr>
      <w:r w:rsidRPr="00EE2DE7">
        <w:rPr>
          <w:rFonts w:eastAsia="Tw Cen MT"/>
          <w:kern w:val="24"/>
        </w:rPr>
        <w:t>b)</w:t>
      </w:r>
      <w:r w:rsidRPr="00EE2DE7">
        <w:rPr>
          <w:rFonts w:eastAsia="Tw Cen MT"/>
          <w:kern w:val="24"/>
        </w:rPr>
        <w:tab/>
        <w:t>1250 pikëve të vitit të dytë;</w:t>
      </w:r>
    </w:p>
    <w:p w:rsidR="00EF53DA" w:rsidRPr="00EE2DE7" w:rsidRDefault="00EF53DA" w:rsidP="00EF53DA">
      <w:pPr>
        <w:spacing w:line="276" w:lineRule="auto"/>
        <w:ind w:right="283" w:firstLine="142"/>
        <w:jc w:val="both"/>
        <w:rPr>
          <w:rFonts w:eastAsia="Tw Cen MT"/>
          <w:kern w:val="24"/>
        </w:rPr>
      </w:pPr>
      <w:r w:rsidRPr="00EE2DE7">
        <w:rPr>
          <w:rFonts w:eastAsia="Tw Cen MT"/>
          <w:kern w:val="24"/>
        </w:rPr>
        <w:t xml:space="preserve">     c) 600 pikë të vlerësimit të stazhit profesional të vitit të tretë, sipas Tabelës bashkëngjitur këtij dokumenti. Rezultati përfundimtar i vitit të tretë del pas shumëzimit të vlerësimit prej 300 pikësh me koeficientin 2.</w:t>
      </w:r>
    </w:p>
    <w:p w:rsidR="00EF53DA" w:rsidRPr="00EE2DE7" w:rsidRDefault="00EF53DA" w:rsidP="00EF53DA">
      <w:pPr>
        <w:spacing w:line="276" w:lineRule="auto"/>
        <w:ind w:right="283"/>
        <w:jc w:val="both"/>
        <w:rPr>
          <w:rFonts w:eastAsia="Tw Cen MT"/>
          <w:kern w:val="24"/>
        </w:rPr>
      </w:pPr>
    </w:p>
    <w:p w:rsidR="00EF53DA" w:rsidRPr="00A811C4" w:rsidRDefault="00EF53DA" w:rsidP="00EF53DA">
      <w:pPr>
        <w:spacing w:line="276" w:lineRule="auto"/>
        <w:ind w:right="283"/>
        <w:jc w:val="both"/>
        <w:rPr>
          <w:rFonts w:eastAsia="Tw Cen MT"/>
          <w:b/>
          <w:kern w:val="24"/>
        </w:rPr>
      </w:pPr>
      <w:r w:rsidRPr="00A811C4">
        <w:rPr>
          <w:rFonts w:eastAsia="Tw Cen MT"/>
          <w:b/>
          <w:kern w:val="24"/>
        </w:rPr>
        <w:t>Vlerësimi përfundimtar i përgjithshëm është 4250 pikë.</w:t>
      </w:r>
    </w:p>
    <w:p w:rsidR="00EF53DA" w:rsidRPr="00EE2DE7" w:rsidRDefault="00EF53DA" w:rsidP="00EF53DA">
      <w:pPr>
        <w:spacing w:line="276" w:lineRule="auto"/>
        <w:rPr>
          <w:rFonts w:eastAsia="MS Mincho"/>
          <w:b/>
          <w:kern w:val="24"/>
        </w:rPr>
      </w:pPr>
    </w:p>
    <w:p w:rsidR="00EF53DA" w:rsidRPr="00EE2DE7" w:rsidRDefault="00EF53DA" w:rsidP="00EF53DA">
      <w:pPr>
        <w:spacing w:line="276" w:lineRule="auto"/>
        <w:rPr>
          <w:rFonts w:eastAsia="MS Mincho"/>
          <w:b/>
          <w:kern w:val="24"/>
        </w:rPr>
      </w:pPr>
      <w:r w:rsidRPr="00EE2DE7">
        <w:rPr>
          <w:rFonts w:eastAsia="MS Mincho"/>
          <w:b/>
          <w:kern w:val="24"/>
        </w:rPr>
        <w:t xml:space="preserve">Klasifikimi i kandidatëve për magjistratë </w:t>
      </w:r>
    </w:p>
    <w:p w:rsidR="00EF53DA" w:rsidRPr="00EE2DE7" w:rsidRDefault="00EF53DA" w:rsidP="005C2687">
      <w:pPr>
        <w:numPr>
          <w:ilvl w:val="0"/>
          <w:numId w:val="19"/>
        </w:numPr>
        <w:spacing w:line="276" w:lineRule="auto"/>
        <w:jc w:val="both"/>
        <w:rPr>
          <w:rFonts w:eastAsia="Calibri"/>
          <w:kern w:val="24"/>
        </w:rPr>
      </w:pPr>
      <w:r w:rsidRPr="00EE2DE7">
        <w:rPr>
          <w:rFonts w:eastAsia="Arial Unicode MS"/>
          <w:kern w:val="24"/>
        </w:rPr>
        <w:t xml:space="preserve">Këshilli Pedagogjik, më datë 26.06.2018, në përfundim të stazhit profesional, </w:t>
      </w:r>
      <w:r w:rsidRPr="00EE2DE7">
        <w:t>bëri vlerësimin përfundimtar të kandidatëve për magjistrat, sipas sistemit me 5 shkallë, mbi bazën e një renditje përfundimtare të tyre me pikë. Drejtori i Shkollës i paraqiti, një raport Këshillit Drejtues, së bashku me Vendimin e Këshillit Pedagogjik mbi renditjen përfundimtare të kandidatëve për magjistratë të diplomuar.</w:t>
      </w:r>
    </w:p>
    <w:p w:rsidR="00EF53DA" w:rsidRPr="00D3591C" w:rsidRDefault="00EF53DA" w:rsidP="005C2687">
      <w:pPr>
        <w:numPr>
          <w:ilvl w:val="0"/>
          <w:numId w:val="19"/>
        </w:numPr>
        <w:spacing w:line="276" w:lineRule="auto"/>
        <w:jc w:val="both"/>
      </w:pPr>
      <w:r w:rsidRPr="00EE2DE7">
        <w:t xml:space="preserve">Këshilli Drejtues, me </w:t>
      </w:r>
      <w:r w:rsidRPr="00D3591C">
        <w:t>v</w:t>
      </w:r>
      <w:r w:rsidRPr="00EE2DE7">
        <w:t xml:space="preserve">endimin </w:t>
      </w:r>
      <w:r w:rsidRPr="00D3591C">
        <w:t>n</w:t>
      </w:r>
      <w:r w:rsidRPr="00EE2DE7">
        <w:t>r. 20, datë 28.6.2018</w:t>
      </w:r>
      <w:r w:rsidRPr="00D3591C">
        <w:t>,</w:t>
      </w:r>
      <w:r w:rsidRPr="00EE2DE7">
        <w:t xml:space="preserve"> “Për miratimin e raportit të vlerësimit përfundimtar të kandidatëve për magjistratë të vit</w:t>
      </w:r>
      <w:r w:rsidRPr="00D3591C">
        <w:t>e</w:t>
      </w:r>
      <w:r w:rsidRPr="00EE2DE7">
        <w:t>t të tretë akademik 2017-2018” miratoi renditjen përfundimtare të kandidatëve magjistratë të diplomuar 2015-2018.</w:t>
      </w:r>
      <w:r w:rsidRPr="00D3591C">
        <w:t xml:space="preserve"> </w:t>
      </w:r>
    </w:p>
    <w:p w:rsidR="00EF53DA" w:rsidRPr="00EE2DE7" w:rsidRDefault="00EF53DA" w:rsidP="005C2687">
      <w:pPr>
        <w:numPr>
          <w:ilvl w:val="0"/>
          <w:numId w:val="19"/>
        </w:numPr>
        <w:spacing w:line="276" w:lineRule="auto"/>
        <w:jc w:val="both"/>
        <w:rPr>
          <w:rFonts w:eastAsia="Calibri"/>
          <w:kern w:val="24"/>
        </w:rPr>
      </w:pPr>
      <w:r w:rsidRPr="00EE2DE7">
        <w:rPr>
          <w:rFonts w:eastAsia="Calibri"/>
          <w:kern w:val="24"/>
        </w:rPr>
        <w:t>Sipas parashikimit ligjor, pika 1 e nenit 34 të ligjit nr. 96/2016</w:t>
      </w:r>
      <w:r w:rsidRPr="00EE2DE7">
        <w:rPr>
          <w:rFonts w:eastAsia="Arial Unicode MS"/>
          <w:kern w:val="24"/>
        </w:rPr>
        <w:t xml:space="preserve">, publikoi listën e kandidatëve magjistratë, të diplomuar në Formimin Fillestar për periudhën 2015-2018 në faqen zyrtare </w:t>
      </w:r>
      <w:hyperlink r:id="rId18" w:history="1">
        <w:r w:rsidRPr="00D3591C">
          <w:rPr>
            <w:rFonts w:eastAsia="Arial Unicode MS"/>
            <w:i/>
            <w:kern w:val="24"/>
          </w:rPr>
          <w:t>www.magjistratura.edu.al</w:t>
        </w:r>
      </w:hyperlink>
      <w:r w:rsidRPr="00EE2DE7">
        <w:rPr>
          <w:rFonts w:eastAsia="Arial Unicode MS"/>
          <w:kern w:val="24"/>
        </w:rPr>
        <w:t xml:space="preserve"> më datë 29.6.2018, duke bërë publike edhe renditjen përfundimtare të tyre.</w:t>
      </w:r>
    </w:p>
    <w:p w:rsidR="00EF53DA" w:rsidRPr="00EE2DE7" w:rsidRDefault="00EF53DA" w:rsidP="005C2687">
      <w:pPr>
        <w:numPr>
          <w:ilvl w:val="0"/>
          <w:numId w:val="19"/>
        </w:numPr>
        <w:spacing w:line="276" w:lineRule="auto"/>
        <w:jc w:val="both"/>
        <w:rPr>
          <w:rFonts w:eastAsia="Calibri"/>
          <w:kern w:val="24"/>
        </w:rPr>
      </w:pPr>
      <w:r w:rsidRPr="00EE2DE7">
        <w:rPr>
          <w:rFonts w:eastAsia="Arial Unicode MS"/>
          <w:kern w:val="24"/>
        </w:rPr>
        <w:lastRenderedPageBreak/>
        <w:t>Të diplomuarit u renditën në listë, bazuar në:</w:t>
      </w:r>
    </w:p>
    <w:p w:rsidR="00EF53DA" w:rsidRPr="00EE2DE7" w:rsidRDefault="00EF53DA" w:rsidP="005C2687">
      <w:pPr>
        <w:pStyle w:val="ListParagraph"/>
        <w:numPr>
          <w:ilvl w:val="0"/>
          <w:numId w:val="20"/>
        </w:numPr>
        <w:spacing w:line="276" w:lineRule="auto"/>
        <w:jc w:val="both"/>
      </w:pPr>
      <w:r w:rsidRPr="00EE2DE7">
        <w:rPr>
          <w:rFonts w:eastAsia="Tw Cen MT"/>
        </w:rPr>
        <w:t>rezultatet e provimeve të vitit të parë;</w:t>
      </w:r>
    </w:p>
    <w:p w:rsidR="00EF53DA" w:rsidRPr="00EE2DE7" w:rsidRDefault="00EF53DA" w:rsidP="005C2687">
      <w:pPr>
        <w:numPr>
          <w:ilvl w:val="0"/>
          <w:numId w:val="20"/>
        </w:numPr>
        <w:tabs>
          <w:tab w:val="left" w:pos="630"/>
        </w:tabs>
        <w:spacing w:line="276" w:lineRule="auto"/>
        <w:jc w:val="both"/>
        <w:rPr>
          <w:rFonts w:eastAsia="Tw Cen MT"/>
          <w:kern w:val="24"/>
        </w:rPr>
      </w:pPr>
      <w:r w:rsidRPr="00EE2DE7">
        <w:rPr>
          <w:rFonts w:eastAsia="Tw Cen MT"/>
          <w:kern w:val="24"/>
        </w:rPr>
        <w:t xml:space="preserve">rezultatet e vitit të dytë – të kurseve, </w:t>
      </w:r>
      <w:r w:rsidRPr="00EE2DE7">
        <w:rPr>
          <w:rFonts w:eastAsia="MS Mincho"/>
          <w:kern w:val="24"/>
          <w:lang w:eastAsia="en-GB"/>
        </w:rPr>
        <w:t>gjyqet imituese dhe debatet profesionale;</w:t>
      </w:r>
      <w:r w:rsidRPr="00EE2DE7">
        <w:rPr>
          <w:rFonts w:eastAsia="Tw Cen MT"/>
          <w:kern w:val="24"/>
        </w:rPr>
        <w:t xml:space="preserve"> vlerësim i praktikës; </w:t>
      </w:r>
      <w:r w:rsidRPr="00EE2DE7">
        <w:rPr>
          <w:rFonts w:eastAsia="MS Mincho"/>
          <w:kern w:val="24"/>
          <w:lang w:eastAsia="en-GB"/>
        </w:rPr>
        <w:t>vlerësimi i stazhit paraprofesional në institucione;</w:t>
      </w:r>
      <w:r w:rsidRPr="00EE2DE7">
        <w:rPr>
          <w:rFonts w:ascii="Calibri" w:eastAsia="Calibri" w:hAnsi="Calibri"/>
        </w:rPr>
        <w:t xml:space="preserve"> </w:t>
      </w:r>
      <w:r w:rsidRPr="00EE2DE7">
        <w:rPr>
          <w:rFonts w:eastAsia="MS Mincho"/>
          <w:kern w:val="24"/>
          <w:lang w:eastAsia="en-GB"/>
        </w:rPr>
        <w:t xml:space="preserve">vlerësimi i temës; </w:t>
      </w:r>
    </w:p>
    <w:p w:rsidR="00EF53DA" w:rsidRPr="00EE2DE7" w:rsidRDefault="00EF53DA" w:rsidP="005C2687">
      <w:pPr>
        <w:pStyle w:val="ListParagraph"/>
        <w:numPr>
          <w:ilvl w:val="0"/>
          <w:numId w:val="20"/>
        </w:numPr>
        <w:spacing w:line="276" w:lineRule="auto"/>
        <w:jc w:val="both"/>
      </w:pPr>
      <w:r w:rsidRPr="00EE2DE7">
        <w:rPr>
          <w:rFonts w:eastAsia="Tw Cen MT"/>
        </w:rPr>
        <w:t>rezultatet e vitit të tretë: të stazhit profesional.</w:t>
      </w:r>
    </w:p>
    <w:p w:rsidR="00EF53DA" w:rsidRPr="00EE2DE7" w:rsidRDefault="00EF53DA" w:rsidP="005C2687">
      <w:pPr>
        <w:numPr>
          <w:ilvl w:val="0"/>
          <w:numId w:val="19"/>
        </w:numPr>
        <w:spacing w:line="276" w:lineRule="auto"/>
        <w:jc w:val="both"/>
        <w:rPr>
          <w:rFonts w:ascii="Calibri" w:eastAsia="Calibri" w:hAnsi="Calibri"/>
          <w:kern w:val="24"/>
          <w:sz w:val="23"/>
          <w:szCs w:val="23"/>
        </w:rPr>
      </w:pPr>
      <w:r w:rsidRPr="00EE2DE7">
        <w:rPr>
          <w:rFonts w:eastAsia="Arial Unicode MS"/>
          <w:kern w:val="24"/>
        </w:rPr>
        <w:t xml:space="preserve">Të diplomuarit përfshihen përkatësisht në listën e të diplomuarve për kandidatët gjyqtarë dhe në listën e të diplomuarve për kandidatët prokurorë. Kandidatët magjistratë renditen në listën e të diplomuarve në përputhje me pikën 2 të këtij neni. </w:t>
      </w:r>
    </w:p>
    <w:p w:rsidR="00EF53DA" w:rsidRDefault="00EF53DA" w:rsidP="00EF53DA">
      <w:pPr>
        <w:spacing w:line="276" w:lineRule="auto"/>
        <w:jc w:val="both"/>
        <w:rPr>
          <w:rFonts w:eastAsia="MS Mincho"/>
          <w:b/>
          <w:kern w:val="24"/>
          <w:lang w:eastAsia="en-GB"/>
        </w:rPr>
      </w:pPr>
    </w:p>
    <w:p w:rsidR="00EF53DA" w:rsidRPr="00EF53DA" w:rsidRDefault="00EF53DA" w:rsidP="00EF53DA">
      <w:pPr>
        <w:spacing w:line="276" w:lineRule="auto"/>
        <w:jc w:val="both"/>
        <w:rPr>
          <w:rFonts w:eastAsia="MS Mincho"/>
          <w:b/>
          <w:kern w:val="24"/>
          <w:lang w:eastAsia="en-GB"/>
        </w:rPr>
      </w:pPr>
      <w:r w:rsidRPr="00EE2DE7">
        <w:rPr>
          <w:rFonts w:eastAsia="MS Mincho"/>
          <w:b/>
          <w:kern w:val="24"/>
          <w:lang w:eastAsia="en-GB"/>
        </w:rPr>
        <w:t>Skema e vlerësimit pas vitit të tretë</w:t>
      </w:r>
      <w:r w:rsidRPr="00EE2DE7">
        <w:rPr>
          <w:rFonts w:eastAsia="MS Mincho"/>
          <w:b/>
          <w:kern w:val="24"/>
          <w:lang w:eastAsia="en-GB"/>
        </w:rPr>
        <w:tab/>
      </w:r>
      <w:r w:rsidRPr="00EE2DE7">
        <w:rPr>
          <w:rFonts w:eastAsia="MS Mincho"/>
          <w:b/>
          <w:kern w:val="24"/>
          <w:lang w:eastAsia="en-GB"/>
        </w:rPr>
        <w:tab/>
      </w:r>
    </w:p>
    <w:p w:rsidR="00EF53DA" w:rsidRPr="00EE2DE7" w:rsidRDefault="00CF3AE0" w:rsidP="00EF53DA">
      <w:pPr>
        <w:spacing w:after="200" w:line="276" w:lineRule="auto"/>
        <w:jc w:val="center"/>
        <w:rPr>
          <w:rFonts w:ascii="Calibri" w:eastAsia="Calibri" w:hAnsi="Calibri"/>
          <w:lang w:eastAsia="en-GB"/>
        </w:rPr>
      </w:pPr>
      <w:r>
        <w:rPr>
          <w:rFonts w:ascii="Calibri" w:eastAsia="Calibri" w:hAnsi="Calibri"/>
        </w:rPr>
        <w:pict>
          <v:shape id="Straight Arrow Connector 7" o:spid="_x0000_s1062" type="#_x0000_t32" style="position:absolute;left:0;text-align:left;margin-left:124pt;margin-top:80.05pt;width:16.05pt;height:0;z-index:25172736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"/>
        </w:pict>
      </w:r>
      <w:r>
        <w:rPr>
          <w:rFonts w:ascii="Calibri" w:eastAsia="Calibri" w:hAnsi="Calibri"/>
        </w:rPr>
        <w:pict>
          <v:shape id="Straight Arrow Connector 27" o:spid="_x0000_s1061" type="#_x0000_t32" style="position:absolute;left:0;text-align:left;margin-left:105pt;margin-top:44.5pt;width:14pt;height:0;z-index:251726336;visibility:visible;mso-wrap-distance-top:-19e-5mm;mso-wrap-distance-bottom:-19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"/>
        </w:pict>
      </w:r>
      <w:r>
        <w:rPr>
          <w:rFonts w:ascii="Calibri" w:eastAsia="Calibri" w:hAnsi="Calibri"/>
        </w:rPr>
        <w:pict>
          <v:shape id="Straight Arrow Connector 29" o:spid="_x0000_s1059" type="#_x0000_t32" style="position:absolute;left:0;text-align:left;margin-left:13.15pt;margin-top:3.3pt;width:21pt;height:0;z-index:251724288;visibility:visible;mso-wrap-distance-top:-19e-5mm;mso-wrap-distance-bottom:-19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"/>
        </w:pict>
      </w:r>
      <w:r>
        <w:rPr>
          <w:rFonts w:ascii="Calibri" w:eastAsia="Calibri" w:hAnsi="Calibri"/>
        </w:rPr>
        <w:pict>
          <v:shape id="Straight Arrow Connector 28" o:spid="_x0000_s1060" type="#_x0000_t32" style="position:absolute;left:0;text-align:left;margin-left:52.7pt;margin-top:3.3pt;width:14pt;height:0;z-index:251725312;visibility:visible;mso-wrap-distance-top:-19e-5mm;mso-wrap-distance-bottom:-19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"/>
        </w:pict>
      </w:r>
      <w:r w:rsidR="00EF53DA" w:rsidRPr="00EE2DE7">
        <w:rPr>
          <w:rFonts w:ascii="Cambria Math" w:eastAsia="Tw Cen MT" w:hAnsi="Cambria Math"/>
          <w:kern w:val="24"/>
          <w:lang w:eastAsia="ja-JP"/>
        </w:rPr>
        <w:br/>
      </w:r>
      <m:oMathPara>
        <m:oMath>
          <m:nary>
            <m:naryPr>
              <m:chr m:val="∑"/>
              <m:limLoc m:val="subSup"/>
              <m:supHide m:val="1"/>
              <m:ctrlPr>
                <w:rPr>
                  <w:rFonts w:ascii="Cambria Math" w:eastAsia="Tw Cen MT" w:hAnsi="Cambria Math"/>
                  <w:kern w:val="24"/>
                  <w:lang w:eastAsia="ja-JP"/>
                </w:rPr>
              </m:ctrlPr>
            </m:naryPr>
            <m:sub>
              <m:r>
                <w:rPr>
                  <w:rFonts w:ascii="Cambria Math" w:eastAsia="Tw Cen MT" w:hAnsi="Cambria Math"/>
                  <w:kern w:val="24"/>
                  <w:lang w:eastAsia="ja-JP"/>
                </w:rPr>
                <m:t>p</m:t>
              </m:r>
            </m:sub>
            <m:sup/>
            <m:e>
              <m:r>
                <m:rPr>
                  <m:sty m:val="p"/>
                </m:rPr>
                <w:rPr>
                  <w:rFonts w:ascii="Cambria Math" w:eastAsia="Tw Cen MT" w:hAnsi="Cambria Math"/>
                  <w:kern w:val="24"/>
                  <w:lang w:eastAsia="ja-JP"/>
                </w:rPr>
                <m:t>=</m:t>
              </m:r>
            </m:e>
          </m:nary>
          <m:nary>
            <m:naryPr>
              <m:chr m:val="∑"/>
              <m:limLoc m:val="undOvr"/>
              <m:supHide m:val="1"/>
              <m:ctrlPr>
                <w:rPr>
                  <w:rFonts w:ascii="Cambria Math" w:eastAsia="Tw Cen MT" w:hAnsi="Cambria Math"/>
                  <w:kern w:val="24"/>
                  <w:lang w:eastAsia="ja-JP"/>
                </w:rPr>
              </m:ctrlPr>
            </m:naryPr>
            <m:sub>
              <m:r>
                <w:rPr>
                  <w:rFonts w:ascii="Cambria Math" w:eastAsia="Tw Cen MT" w:hAnsi="Cambria Math"/>
                  <w:kern w:val="24"/>
                  <w:lang w:eastAsia="ja-JP"/>
                </w:rPr>
                <m:t>VitiI</m:t>
              </m:r>
            </m:sub>
            <m:sup/>
            <m:e>
              <m:r>
                <m:rPr>
                  <m:sty m:val="p"/>
                </m:rPr>
                <w:rPr>
                  <w:rFonts w:ascii="Cambria Math" w:eastAsia="Tw Cen MT" w:hAnsi="Cambria Math"/>
                  <w:kern w:val="24"/>
                  <w:lang w:eastAsia="ja-JP"/>
                </w:rPr>
                <m:t>{</m:t>
              </m:r>
              <m:d>
                <m:dPr>
                  <m:ctrlPr>
                    <w:rPr>
                      <w:rFonts w:ascii="Cambria Math" w:eastAsia="Tw Cen MT" w:hAnsi="Cambria Math"/>
                      <w:kern w:val="24"/>
                    </w:rPr>
                  </m:ctrlPr>
                </m:dPr>
                <m:e>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1</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1</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1/2</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 xml:space="preserve">2 </m:t>
                      </m:r>
                    </m:sub>
                  </m:sSub>
                </m:e>
              </m:d>
              <m:r>
                <m:rPr>
                  <m:sty m:val="p"/>
                </m:rPr>
                <w:rPr>
                  <w:rFonts w:ascii="Cambria Math" w:eastAsia="Tw Cen MT" w:hAnsi="Cambria Math"/>
                  <w:kern w:val="24"/>
                </w:rPr>
                <m:t>}</m:t>
              </m:r>
              <m:r>
                <m:rPr>
                  <m:sty m:val="p"/>
                </m:rPr>
                <w:rPr>
                  <w:rFonts w:ascii="Cambria Math" w:eastAsia="Tw Cen MT" w:hAnsi="Cambria Math"/>
                  <w:kern w:val="24"/>
                  <w:lang w:eastAsia="ja-JP"/>
                </w:rPr>
                <m:t>+</m:t>
              </m:r>
              <m:nary>
                <m:naryPr>
                  <m:chr m:val="∑"/>
                  <m:limLoc m:val="undOvr"/>
                  <m:supHide m:val="1"/>
                  <m:ctrlPr>
                    <w:rPr>
                      <w:rFonts w:ascii="Cambria Math" w:eastAsia="Tw Cen MT" w:hAnsi="Cambria Math"/>
                      <w:kern w:val="24"/>
                      <w:lang w:eastAsia="ja-JP"/>
                    </w:rPr>
                  </m:ctrlPr>
                </m:naryPr>
                <m:sub>
                  <m:r>
                    <w:rPr>
                      <w:rFonts w:ascii="Cambria Math" w:eastAsia="Tw Cen MT" w:hAnsi="Cambria Math"/>
                      <w:kern w:val="24"/>
                      <w:lang w:eastAsia="ja-JP"/>
                    </w:rPr>
                    <m:t>VitiII</m:t>
                  </m:r>
                </m:sub>
                <m:sup/>
                <m:e>
                  <m:d>
                    <m:dPr>
                      <m:begChr m:val="{"/>
                      <m:endChr m:val="}"/>
                      <m:ctrlPr>
                        <w:rPr>
                          <w:rFonts w:ascii="Cambria Math" w:eastAsia="Tw Cen MT" w:hAnsi="Cambria Math"/>
                          <w:kern w:val="24"/>
                          <w:lang w:eastAsia="ja-JP"/>
                        </w:rPr>
                      </m:ctrlPr>
                    </m:dPr>
                    <m:e>
                      <m:d>
                        <m:dPr>
                          <m:ctrlPr>
                            <w:rPr>
                              <w:rFonts w:ascii="Cambria Math" w:eastAsia="Tw Cen MT" w:hAnsi="Cambria Math"/>
                              <w:kern w:val="24"/>
                            </w:rPr>
                          </m:ctrlPr>
                        </m:dPr>
                        <m:e>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2</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 xml:space="preserve">2 </m:t>
                              </m:r>
                            </m:sub>
                          </m:sSub>
                        </m:e>
                      </m:d>
                      <m:r>
                        <m:rPr>
                          <m:sty m:val="p"/>
                        </m:rPr>
                        <w:rPr>
                          <w:rFonts w:ascii="Cambria Math" w:eastAsia="Tw Cen MT" w:hAnsi="Cambria Math"/>
                          <w:kern w:val="24"/>
                        </w:rPr>
                        <m:t>+</m:t>
                      </m:r>
                      <m:d>
                        <m:dPr>
                          <m:ctrlPr>
                            <w:rPr>
                              <w:rFonts w:ascii="Cambria Math" w:eastAsia="Tw Cen MT" w:hAnsi="Cambria Math"/>
                              <w:kern w:val="24"/>
                            </w:rPr>
                          </m:ctrlPr>
                        </m:dPr>
                        <m:e>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3</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1</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 xml:space="preserve">4  </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1</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5</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w:rPr>
                                  <w:rFonts w:ascii="Cambria Math" w:eastAsia="Tw Cen MT" w:hAnsi="Cambria Math"/>
                                  <w:kern w:val="24"/>
                                </w:rPr>
                                <m:t>3</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 xml:space="preserve">6 </m:t>
                              </m:r>
                            </m:sub>
                          </m:sSub>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1</m:t>
                              </m:r>
                            </m:sub>
                          </m:sSub>
                        </m:e>
                      </m:d>
                      <m:ctrlPr>
                        <w:rPr>
                          <w:rFonts w:ascii="Cambria Math" w:eastAsia="Tw Cen MT" w:hAnsi="Cambria Math"/>
                          <w:kern w:val="24"/>
                        </w:rPr>
                      </m:ctrlPr>
                    </m:e>
                  </m:d>
                  <m:r>
                    <m:rPr>
                      <m:sty m:val="p"/>
                    </m:rPr>
                    <w:rPr>
                      <w:rFonts w:ascii="Cambria Math" w:eastAsia="Tw Cen MT" w:hAnsi="Cambria Math"/>
                      <w:kern w:val="24"/>
                    </w:rPr>
                    <m:t>+</m:t>
                  </m:r>
                </m:e>
              </m:nary>
            </m:e>
          </m:nary>
          <m:r>
            <w:rPr>
              <w:rFonts w:ascii="Cambria Math" w:eastAsia="Tw Cen MT" w:hAnsi="Cambria Math"/>
              <w:kern w:val="24"/>
              <w:lang w:eastAsia="ja-JP"/>
            </w:rPr>
            <m:t xml:space="preserve"> *f3</m:t>
          </m:r>
          <m:nary>
            <m:naryPr>
              <m:chr m:val="∑"/>
              <m:limLoc m:val="undOvr"/>
              <m:supHide m:val="1"/>
              <m:ctrlPr>
                <w:rPr>
                  <w:rFonts w:ascii="Cambria Math" w:eastAsia="Tw Cen MT" w:hAnsi="Cambria Math"/>
                  <w:b/>
                  <w:kern w:val="24"/>
                  <w:lang w:eastAsia="ja-JP"/>
                </w:rPr>
              </m:ctrlPr>
            </m:naryPr>
            <m:sub>
              <m:r>
                <m:rPr>
                  <m:sty m:val="bi"/>
                </m:rPr>
                <w:rPr>
                  <w:rFonts w:ascii="Cambria Math" w:eastAsia="Tw Cen MT" w:hAnsi="Cambria Math"/>
                  <w:kern w:val="24"/>
                  <w:lang w:eastAsia="ja-JP"/>
                </w:rPr>
                <m:t>VitiIII</m:t>
              </m:r>
            </m:sub>
            <m:sup/>
            <m:e>
              <m:sSub>
                <m:sSubPr>
                  <m:ctrlPr>
                    <w:rPr>
                      <w:rFonts w:ascii="Cambria Math" w:eastAsia="Tw Cen MT" w:hAnsi="Cambria Math"/>
                      <w:b/>
                      <w:kern w:val="24"/>
                    </w:rPr>
                  </m:ctrlPr>
                </m:sSubPr>
                <m:e>
                  <m:r>
                    <m:rPr>
                      <m:sty m:val="bi"/>
                    </m:rPr>
                    <w:rPr>
                      <w:rFonts w:ascii="Cambria Math" w:eastAsia="Tw Cen MT" w:hAnsi="Cambria Math"/>
                      <w:kern w:val="24"/>
                    </w:rPr>
                    <m:t>x</m:t>
                  </m:r>
                </m:e>
                <m:sub>
                  <m:r>
                    <m:rPr>
                      <m:sty m:val="b"/>
                    </m:rPr>
                    <w:rPr>
                      <w:rFonts w:ascii="Cambria Math" w:eastAsia="Tw Cen MT" w:hAnsi="Cambria Math"/>
                      <w:kern w:val="24"/>
                    </w:rPr>
                    <m:t xml:space="preserve">7 </m:t>
                  </m:r>
                </m:sub>
              </m:sSub>
            </m:e>
          </m:nary>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f</m:t>
              </m:r>
            </m:e>
            <m:sub>
              <m:r>
                <w:rPr>
                  <w:rFonts w:ascii="Cambria Math" w:eastAsia="Tw Cen MT" w:hAnsi="Cambria Math"/>
                  <w:kern w:val="24"/>
                </w:rPr>
                <m:t>3</m:t>
              </m:r>
            </m:sub>
          </m:sSub>
        </m:oMath>
      </m:oMathPara>
    </w:p>
    <w:p w:rsidR="00EF53DA" w:rsidRPr="00EE2DE7" w:rsidRDefault="00EF53DA" w:rsidP="00EF53DA">
      <w:pPr>
        <w:tabs>
          <w:tab w:val="left" w:pos="3734"/>
          <w:tab w:val="left" w:pos="9445"/>
        </w:tabs>
        <w:spacing w:line="276" w:lineRule="auto"/>
        <w:jc w:val="both"/>
        <w:rPr>
          <w:rFonts w:eastAsia="MS Mincho"/>
          <w:kern w:val="24"/>
          <w:lang w:eastAsia="ja-JP"/>
        </w:rPr>
      </w:pPr>
    </w:p>
    <w:p w:rsidR="00EF53DA" w:rsidRPr="00EE2DE7" w:rsidRDefault="00CF3AE0" w:rsidP="00EF53DA">
      <w:pPr>
        <w:spacing w:line="276" w:lineRule="auto"/>
        <w:jc w:val="both"/>
        <w:rPr>
          <w:rFonts w:eastAsia="MS Mincho"/>
          <w:kern w:val="24"/>
          <w:lang w:eastAsia="ja-JP"/>
        </w:rPr>
      </w:pPr>
      <m:oMath>
        <m:nary>
          <m:naryPr>
            <m:chr m:val="∑"/>
            <m:limLoc m:val="subSup"/>
            <m:supHide m:val="1"/>
            <m:ctrlPr>
              <w:rPr>
                <w:rFonts w:ascii="Cambria Math" w:eastAsia="Tw Cen MT" w:hAnsi="Cambria Math"/>
                <w:kern w:val="24"/>
                <w:lang w:eastAsia="ja-JP"/>
              </w:rPr>
            </m:ctrlPr>
          </m:naryPr>
          <m:sub>
            <m:r>
              <w:rPr>
                <w:rFonts w:ascii="Cambria Math" w:eastAsia="Tw Cen MT" w:hAnsi="Cambria Math"/>
                <w:kern w:val="24"/>
                <w:lang w:eastAsia="ja-JP"/>
              </w:rPr>
              <m:t>p</m:t>
            </m:r>
          </m:sub>
          <m:sup/>
          <m:e>
            <m:r>
              <m:rPr>
                <m:sty m:val="p"/>
              </m:rPr>
              <w:rPr>
                <w:rFonts w:ascii="Cambria Math" w:eastAsia="Tw Cen MT" w:hAnsi="Cambria Math"/>
                <w:kern w:val="24"/>
                <w:lang w:eastAsia="ja-JP"/>
              </w:rPr>
              <m:t>=</m:t>
            </m:r>
          </m:e>
        </m:nary>
        <m:r>
          <w:rPr>
            <w:rFonts w:ascii="Cambria Math" w:eastAsia="Tw Cen MT" w:hAnsi="Cambria Math"/>
            <w:kern w:val="24"/>
            <w:lang w:eastAsia="ja-JP"/>
          </w:rPr>
          <m:t xml:space="preserve"> S</m:t>
        </m:r>
      </m:oMath>
      <w:r w:rsidR="00EF53DA" w:rsidRPr="00EE2DE7">
        <w:rPr>
          <w:rFonts w:eastAsia="MS Mincho"/>
          <w:kern w:val="24"/>
          <w:lang w:eastAsia="ja-JP"/>
        </w:rPr>
        <w:t>huma e ponderuar;</w:t>
      </w:r>
    </w:p>
    <w:p w:rsidR="00EF53DA" w:rsidRPr="00EE2DE7" w:rsidRDefault="00CF3AE0" w:rsidP="00EF53DA">
      <w:pPr>
        <w:spacing w:line="276" w:lineRule="auto"/>
        <w:jc w:val="both"/>
        <w:rPr>
          <w:rFonts w:eastAsia="MS Mincho"/>
          <w:kern w:val="24"/>
          <w:lang w:eastAsia="ja-JP"/>
        </w:rPr>
      </w:pPr>
      <m:oMath>
        <m:sSub>
          <m:sSubPr>
            <m:ctrlPr>
              <w:rPr>
                <w:rFonts w:ascii="Cambria Math" w:eastAsia="Tw Cen MT" w:hAnsi="Cambria Math"/>
                <w:kern w:val="24"/>
                <w:lang w:eastAsia="ja-JP"/>
              </w:rPr>
            </m:ctrlPr>
          </m:sSubPr>
          <m:e>
            <m:r>
              <w:rPr>
                <w:rFonts w:ascii="Cambria Math" w:eastAsia="Tw Cen MT" w:hAnsi="Cambria Math"/>
                <w:kern w:val="24"/>
                <w:lang w:eastAsia="ja-JP"/>
              </w:rPr>
              <m:t xml:space="preserve"> x</m:t>
            </m:r>
          </m:e>
          <m:sub>
            <m:r>
              <m:rPr>
                <m:sty m:val="p"/>
              </m:rPr>
              <w:rPr>
                <w:rFonts w:ascii="Cambria Math" w:eastAsia="Tw Cen MT" w:hAnsi="Cambria Math"/>
                <w:kern w:val="24"/>
                <w:lang w:eastAsia="ja-JP"/>
              </w:rPr>
              <m:t>1</m:t>
            </m:r>
          </m:sub>
        </m:sSub>
        <m:r>
          <w:rPr>
            <w:rFonts w:ascii="Cambria Math" w:eastAsia="Tw Cen MT" w:hAnsi="Cambria Math"/>
            <w:kern w:val="24"/>
            <w:lang w:eastAsia="ja-JP"/>
          </w:rPr>
          <m:t xml:space="preserve"> </m:t>
        </m:r>
      </m:oMath>
      <w:r w:rsidR="00EF53DA" w:rsidRPr="00EE2DE7">
        <w:rPr>
          <w:rFonts w:eastAsia="MS Mincho"/>
          <w:kern w:val="24"/>
          <w:lang w:eastAsia="ja-JP"/>
        </w:rPr>
        <w:t>= Shuma e pikëve të lëndëve të Grupit I;</w:t>
      </w:r>
    </w:p>
    <w:p w:rsidR="00EF53DA" w:rsidRPr="00EE2DE7" w:rsidRDefault="00CF3AE0" w:rsidP="00EF53DA">
      <w:pPr>
        <w:spacing w:line="276" w:lineRule="auto"/>
        <w:jc w:val="both"/>
        <w:rPr>
          <w:rFonts w:eastAsia="MS Mincho"/>
          <w:kern w:val="24"/>
          <w:lang w:eastAsia="ja-JP"/>
        </w:rPr>
      </w:pPr>
      <m:oMath>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1/2</m:t>
            </m:r>
          </m:sub>
        </m:sSub>
      </m:oMath>
      <w:r w:rsidR="00EF53DA" w:rsidRPr="00EE2DE7">
        <w:rPr>
          <w:rFonts w:eastAsia="MS Mincho"/>
          <w:kern w:val="24"/>
          <w:lang w:eastAsia="ja-JP"/>
        </w:rPr>
        <w:t>= Shuma e pikëve të lëndëve të Grupit II të vitit të parë;</w:t>
      </w:r>
    </w:p>
    <w:p w:rsidR="00EF53DA" w:rsidRPr="00EE2DE7" w:rsidRDefault="00CF3AE0" w:rsidP="00EF53DA">
      <w:pPr>
        <w:spacing w:line="276" w:lineRule="auto"/>
        <w:jc w:val="both"/>
        <w:rPr>
          <w:rFonts w:eastAsia="MS Mincho"/>
          <w:kern w:val="24"/>
          <w:lang w:eastAsia="ja-JP"/>
        </w:rPr>
      </w:pPr>
      <m:oMath>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2</m:t>
            </m:r>
          </m:sub>
        </m:sSub>
      </m:oMath>
      <w:r w:rsidR="00EF53DA" w:rsidRPr="00EE2DE7">
        <w:rPr>
          <w:rFonts w:eastAsia="MS Mincho"/>
          <w:kern w:val="24"/>
          <w:lang w:eastAsia="ja-JP"/>
        </w:rPr>
        <w:t xml:space="preserve"> = Shuma e pikëve të kurseve të vitit të dytë;</w:t>
      </w:r>
    </w:p>
    <w:p w:rsidR="00EF53DA" w:rsidRPr="00EE2DE7" w:rsidRDefault="00CF3AE0" w:rsidP="00EF53DA">
      <w:pPr>
        <w:spacing w:line="276" w:lineRule="auto"/>
        <w:jc w:val="both"/>
        <w:rPr>
          <w:rFonts w:eastAsia="MS Mincho"/>
          <w:kern w:val="24"/>
          <w:lang w:eastAsia="en-GB"/>
        </w:rPr>
      </w:pPr>
      <m:oMath>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3</m:t>
            </m:r>
          </m:sub>
        </m:sSub>
      </m:oMath>
      <w:r w:rsidR="00EF53DA" w:rsidRPr="00EE2DE7">
        <w:rPr>
          <w:rFonts w:eastAsia="MS Mincho"/>
          <w:kern w:val="24"/>
          <w:lang w:eastAsia="en-GB"/>
        </w:rPr>
        <w:t xml:space="preserve"> = Gjyqet imituese dhe debatet profesionale;</w:t>
      </w:r>
    </w:p>
    <w:p w:rsidR="00EF53DA" w:rsidRPr="00EE2DE7" w:rsidRDefault="00CF3AE0" w:rsidP="00EF53DA">
      <w:pPr>
        <w:spacing w:line="276" w:lineRule="auto"/>
        <w:jc w:val="both"/>
        <w:rPr>
          <w:rFonts w:eastAsia="MS Mincho"/>
          <w:kern w:val="24"/>
          <w:lang w:eastAsia="en-GB"/>
        </w:rPr>
      </w:pPr>
      <m:oMath>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4</m:t>
            </m:r>
          </m:sub>
        </m:sSub>
      </m:oMath>
      <w:r w:rsidR="00EF53DA" w:rsidRPr="00EE2DE7">
        <w:rPr>
          <w:rFonts w:eastAsia="MS Mincho"/>
          <w:kern w:val="24"/>
          <w:lang w:eastAsia="en-GB"/>
        </w:rPr>
        <w:t xml:space="preserve"> = Vlerësimi i stazhit paraprofesional dosjet e përgatitura civile dhe penale;</w:t>
      </w:r>
    </w:p>
    <w:p w:rsidR="00EF53DA" w:rsidRPr="00EE2DE7" w:rsidRDefault="00CF3AE0" w:rsidP="00EF53DA">
      <w:pPr>
        <w:spacing w:line="276" w:lineRule="auto"/>
        <w:jc w:val="both"/>
        <w:rPr>
          <w:rFonts w:eastAsia="MS Mincho"/>
          <w:kern w:val="24"/>
          <w:lang w:eastAsia="en-GB"/>
        </w:rPr>
      </w:pPr>
      <m:oMath>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5</m:t>
            </m:r>
          </m:sub>
        </m:sSub>
      </m:oMath>
      <w:r w:rsidR="00EF53DA" w:rsidRPr="00EE2DE7">
        <w:rPr>
          <w:rFonts w:eastAsia="MS Mincho"/>
          <w:kern w:val="24"/>
          <w:lang w:eastAsia="en-GB"/>
        </w:rPr>
        <w:t>= Vlerësimi i stazhit paraprofesional në institucione;</w:t>
      </w:r>
    </w:p>
    <w:p w:rsidR="00EF53DA" w:rsidRPr="00EE2DE7" w:rsidRDefault="00CF3AE0" w:rsidP="00EF53DA">
      <w:pPr>
        <w:spacing w:line="276" w:lineRule="auto"/>
        <w:jc w:val="both"/>
        <w:rPr>
          <w:rFonts w:eastAsia="MS Mincho"/>
          <w:kern w:val="24"/>
          <w:lang w:eastAsia="en-GB"/>
        </w:rPr>
      </w:pPr>
      <m:oMath>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6</m:t>
            </m:r>
          </m:sub>
        </m:sSub>
      </m:oMath>
      <w:r w:rsidR="00EF53DA" w:rsidRPr="00EE2DE7">
        <w:rPr>
          <w:rFonts w:eastAsia="MS Mincho"/>
          <w:kern w:val="24"/>
          <w:lang w:eastAsia="en-GB"/>
        </w:rPr>
        <w:t xml:space="preserve"> = Vlerësimi i temës së vitit të dytë;</w:t>
      </w:r>
    </w:p>
    <w:p w:rsidR="00EF53DA" w:rsidRPr="00EE2DE7" w:rsidRDefault="00EF53DA" w:rsidP="00EF53DA">
      <w:pPr>
        <w:spacing w:line="276" w:lineRule="auto"/>
        <w:jc w:val="both"/>
        <w:rPr>
          <w:rFonts w:eastAsia="MS Mincho"/>
          <w:kern w:val="24"/>
        </w:rPr>
      </w:pPr>
      <w:r w:rsidRPr="00EE2DE7">
        <w:rPr>
          <w:rFonts w:eastAsia="MS Mincho"/>
          <w:kern w:val="24"/>
          <w:lang w:eastAsia="en-GB"/>
        </w:rPr>
        <w:t>x7</w:t>
      </w:r>
      <w:r w:rsidRPr="00EE2DE7">
        <w:rPr>
          <w:rFonts w:eastAsia="MS Mincho"/>
          <w:kern w:val="24"/>
        </w:rPr>
        <w:t xml:space="preserve"> = Vlerësimi i stazhit profesional nga tre </w:t>
      </w:r>
      <w:r w:rsidRPr="00EE2DE7">
        <w:rPr>
          <w:rFonts w:eastAsia="MS Mincho"/>
          <w:kern w:val="24"/>
          <w:lang w:eastAsia="ja-JP"/>
        </w:rPr>
        <w:t>magjistratët udhëheqës</w:t>
      </w:r>
      <w:r w:rsidRPr="00EE2DE7">
        <w:rPr>
          <w:rFonts w:eastAsia="MS Mincho"/>
          <w:kern w:val="24"/>
        </w:rPr>
        <w:t>;</w:t>
      </w:r>
    </w:p>
    <w:p w:rsidR="00EF53DA" w:rsidRPr="00EE2DE7" w:rsidRDefault="00CF3AE0" w:rsidP="00EF53DA">
      <w:pPr>
        <w:spacing w:line="276" w:lineRule="auto"/>
        <w:jc w:val="both"/>
        <w:rPr>
          <w:rFonts w:eastAsia="MS Mincho"/>
          <w:kern w:val="24"/>
          <w:lang w:eastAsia="ja-JP"/>
        </w:rPr>
      </w:pPr>
      <m:oMath>
        <m:sSub>
          <m:sSubPr>
            <m:ctrlPr>
              <w:rPr>
                <w:rFonts w:ascii="Cambria Math" w:eastAsia="Tw Cen MT" w:hAnsi="Cambria Math"/>
                <w:kern w:val="24"/>
              </w:rPr>
            </m:ctrlPr>
          </m:sSubPr>
          <m:e>
            <m:r>
              <m:rPr>
                <m:sty m:val="p"/>
              </m:rPr>
              <w:rPr>
                <w:rFonts w:ascii="Cambria Math" w:eastAsia="Tw Cen MT" w:hAnsi="Cambria Math"/>
                <w:kern w:val="24"/>
              </w:rPr>
              <m:t>f</m:t>
            </m:r>
          </m:e>
          <m:sub>
            <m:r>
              <m:rPr>
                <m:sty m:val="p"/>
              </m:rPr>
              <w:rPr>
                <w:rFonts w:ascii="Cambria Math" w:eastAsia="Tw Cen MT" w:hAnsi="Cambria Math"/>
                <w:kern w:val="24"/>
              </w:rPr>
              <m:t>1</m:t>
            </m:r>
          </m:sub>
        </m:sSub>
      </m:oMath>
      <w:r w:rsidR="00C057AA" w:rsidRPr="00D3591C">
        <w:rPr>
          <w:rFonts w:ascii="Cambria Math" w:eastAsia="Tw Cen MT" w:hAnsi="Cambria Math"/>
          <w:kern w:val="24"/>
        </w:rPr>
        <w:fldChar w:fldCharType="begin"/>
      </w:r>
      <w:r w:rsidR="00EF53DA" w:rsidRPr="00D3591C">
        <w:rPr>
          <w:rFonts w:ascii="Cambria Math" w:eastAsia="Tw Cen MT" w:hAnsi="Cambria Math"/>
          <w:kern w:val="24"/>
        </w:rPr>
        <w:instrText xml:space="preserve"> QUOTE </w:instrText>
      </w:r>
      <m:oMath>
        <m:sSub>
          <m:sSubPr>
            <m:ctrlPr>
              <w:rPr>
                <w:rFonts w:ascii="Cambria Math" w:eastAsia="Tw Cen MT" w:hAnsi="Cambria Math"/>
                <w:kern w:val="24"/>
              </w:rPr>
            </m:ctrlPr>
          </m:sSubPr>
          <m:e>
            <m:r>
              <m:rPr>
                <m:sty m:val="p"/>
              </m:rPr>
              <w:rPr>
                <w:rFonts w:ascii="Cambria Math" w:eastAsia="Tw Cen MT" w:hAnsi="Cambria Math"/>
                <w:kern w:val="24"/>
              </w:rPr>
              <m:t>f</m:t>
            </m:r>
          </m:e>
          <m:sub>
            <m:r>
              <m:rPr>
                <m:sty m:val="p"/>
              </m:rPr>
              <w:rPr>
                <w:rFonts w:ascii="Cambria Math" w:eastAsia="Tw Cen MT" w:hAnsi="Cambria Math"/>
                <w:kern w:val="24"/>
              </w:rPr>
              <m:t>1</m:t>
            </m:r>
          </m:sub>
        </m:sSub>
      </m:oMath>
      <w:r w:rsidR="00C057AA" w:rsidRPr="00D3591C">
        <w:rPr>
          <w:rFonts w:ascii="Cambria Math" w:eastAsia="Tw Cen MT" w:hAnsi="Cambria Math"/>
          <w:kern w:val="24"/>
        </w:rPr>
        <w:fldChar w:fldCharType="end"/>
      </w:r>
      <w:r w:rsidR="00EF53DA" w:rsidRPr="00D3591C">
        <w:rPr>
          <w:rFonts w:ascii="Cambria Math" w:eastAsia="Tw Cen MT" w:hAnsi="Cambria Math"/>
          <w:kern w:val="24"/>
        </w:rPr>
        <w:t>=1.5(një pikë pesë) koeficienti i vështirësisë (</w:t>
      </w:r>
      <m:oMath>
        <m:sSub>
          <m:sSubPr>
            <m:ctrlPr>
              <w:rPr>
                <w:rFonts w:ascii="Cambria Math" w:eastAsia="Tw Cen MT" w:hAnsi="Cambria Math"/>
                <w:kern w:val="24"/>
              </w:rPr>
            </m:ctrlPr>
          </m:sSubPr>
          <m:e>
            <m:r>
              <m:rPr>
                <m:sty m:val="p"/>
              </m:rPr>
              <w:rPr>
                <w:rFonts w:ascii="Cambria Math" w:eastAsia="Tw Cen MT" w:hAnsi="Cambria Math"/>
                <w:kern w:val="24"/>
              </w:rPr>
              <m:t>x</m:t>
            </m:r>
          </m:e>
          <m:sub>
            <m:r>
              <m:rPr>
                <m:sty m:val="p"/>
              </m:rPr>
              <w:rPr>
                <w:rFonts w:ascii="Cambria Math" w:eastAsia="Tw Cen MT" w:hAnsi="Cambria Math"/>
                <w:kern w:val="24"/>
              </w:rPr>
              <m:t>1</m:t>
            </m:r>
          </m:sub>
        </m:sSub>
        <m:r>
          <m:rPr>
            <m:sty m:val="p"/>
          </m:rPr>
          <w:rPr>
            <w:rFonts w:ascii="Cambria Math" w:eastAsia="Tw Cen MT" w:hAnsi="Cambria Math"/>
            <w:kern w:val="24"/>
          </w:rPr>
          <m:t xml:space="preserve">),  </m:t>
        </m:r>
      </m:oMath>
      <w:r w:rsidR="00EF53DA" w:rsidRPr="00D3591C">
        <w:rPr>
          <w:rFonts w:ascii="Cambria Math" w:eastAsia="Tw Cen MT" w:hAnsi="Cambria Math"/>
          <w:kern w:val="24"/>
        </w:rPr>
        <w:t>(</w:t>
      </w:r>
      <m:oMath>
        <m:sSub>
          <m:sSubPr>
            <m:ctrlPr>
              <w:rPr>
                <w:rFonts w:ascii="Cambria Math" w:eastAsia="Tw Cen MT" w:hAnsi="Cambria Math"/>
                <w:kern w:val="24"/>
              </w:rPr>
            </m:ctrlPr>
          </m:sSubPr>
          <m:e>
            <m:r>
              <m:rPr>
                <m:sty m:val="p"/>
              </m:rPr>
              <w:rPr>
                <w:rFonts w:ascii="Cambria Math" w:eastAsia="Tw Cen MT" w:hAnsi="Cambria Math"/>
                <w:kern w:val="24"/>
              </w:rPr>
              <m:t>x</m:t>
            </m:r>
          </m:e>
          <m:sub>
            <m:r>
              <m:rPr>
                <m:sty m:val="p"/>
              </m:rPr>
              <w:rPr>
                <w:rFonts w:ascii="Cambria Math" w:eastAsia="Tw Cen MT" w:hAnsi="Cambria Math"/>
                <w:kern w:val="24"/>
              </w:rPr>
              <m:t>3</m:t>
            </m:r>
          </m:sub>
        </m:sSub>
        <m:r>
          <m:rPr>
            <m:sty m:val="p"/>
          </m:rPr>
          <w:rPr>
            <w:rFonts w:ascii="Cambria Math" w:eastAsia="Tw Cen MT" w:hAnsi="Cambria Math"/>
            <w:kern w:val="24"/>
          </w:rPr>
          <m:t>),</m:t>
        </m:r>
        <m:d>
          <m:dPr>
            <m:ctrlPr>
              <w:rPr>
                <w:rFonts w:ascii="Cambria Math" w:eastAsia="Tw Cen MT" w:hAnsi="Cambria Math"/>
                <w:kern w:val="24"/>
              </w:rPr>
            </m:ctrlPr>
          </m:dPr>
          <m:e>
            <m:sSub>
              <m:sSubPr>
                <m:ctrlPr>
                  <w:rPr>
                    <w:rFonts w:ascii="Cambria Math" w:eastAsia="Tw Cen MT" w:hAnsi="Cambria Math"/>
                    <w:kern w:val="24"/>
                  </w:rPr>
                </m:ctrlPr>
              </m:sSubPr>
              <m:e>
                <m:r>
                  <m:rPr>
                    <m:sty m:val="p"/>
                  </m:rPr>
                  <w:rPr>
                    <w:rFonts w:ascii="Cambria Math" w:eastAsia="Tw Cen MT" w:hAnsi="Cambria Math"/>
                    <w:kern w:val="24"/>
                  </w:rPr>
                  <m:t>x</m:t>
                </m:r>
              </m:e>
              <m:sub>
                <m:r>
                  <m:rPr>
                    <m:sty m:val="p"/>
                  </m:rPr>
                  <w:rPr>
                    <w:rFonts w:ascii="Cambria Math" w:eastAsia="Tw Cen MT" w:hAnsi="Cambria Math"/>
                    <w:kern w:val="24"/>
                  </w:rPr>
                  <m:t xml:space="preserve">4  </m:t>
                </m:r>
              </m:sub>
            </m:sSub>
          </m:e>
        </m:d>
        <m:r>
          <m:rPr>
            <m:sty m:val="p"/>
          </m:rPr>
          <w:rPr>
            <w:rFonts w:ascii="Cambria Math" w:eastAsia="Tw Cen MT" w:hAnsi="Cambria Math"/>
            <w:kern w:val="24"/>
          </w:rPr>
          <m:t>,</m:t>
        </m:r>
        <m:d>
          <m:dPr>
            <m:ctrlPr>
              <w:rPr>
                <w:rFonts w:ascii="Cambria Math" w:eastAsia="Tw Cen MT" w:hAnsi="Cambria Math"/>
                <w:kern w:val="24"/>
              </w:rPr>
            </m:ctrlPr>
          </m:dPr>
          <m:e>
            <m:sSub>
              <m:sSubPr>
                <m:ctrlPr>
                  <w:rPr>
                    <w:rFonts w:ascii="Cambria Math" w:eastAsia="Tw Cen MT" w:hAnsi="Cambria Math"/>
                    <w:kern w:val="24"/>
                  </w:rPr>
                </m:ctrlPr>
              </m:sSubPr>
              <m:e>
                <m:r>
                  <m:rPr>
                    <m:sty m:val="p"/>
                  </m:rPr>
                  <w:rPr>
                    <w:rFonts w:ascii="Cambria Math" w:eastAsia="Tw Cen MT" w:hAnsi="Cambria Math"/>
                    <w:kern w:val="24"/>
                  </w:rPr>
                  <m:t>x</m:t>
                </m:r>
              </m:e>
              <m:sub>
                <m:r>
                  <m:rPr>
                    <m:sty m:val="p"/>
                  </m:rPr>
                  <w:rPr>
                    <w:rFonts w:ascii="Cambria Math" w:eastAsia="Tw Cen MT" w:hAnsi="Cambria Math"/>
                    <w:kern w:val="24"/>
                  </w:rPr>
                  <m:t>5</m:t>
                </m:r>
              </m:sub>
            </m:sSub>
          </m:e>
        </m:d>
      </m:oMath>
      <w:r w:rsidR="00EF53DA" w:rsidRPr="00D3591C">
        <w:rPr>
          <w:rFonts w:ascii="Cambria Math" w:eastAsia="Tw Cen MT" w:hAnsi="Cambria Math"/>
          <w:kern w:val="24"/>
        </w:rPr>
        <w:t>;</w:t>
      </w:r>
      <w:r w:rsidR="00EF53DA" w:rsidRPr="00EE2DE7">
        <w:rPr>
          <w:rFonts w:eastAsia="MS Mincho"/>
          <w:kern w:val="24"/>
        </w:rPr>
        <w:br/>
      </w:r>
      <m:oMath>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2</m:t>
            </m:r>
          </m:sub>
        </m:sSub>
      </m:oMath>
      <w:r w:rsidR="00EF53DA" w:rsidRPr="00EE2DE7">
        <w:rPr>
          <w:rFonts w:eastAsia="MS Mincho"/>
          <w:kern w:val="24"/>
          <w:lang w:eastAsia="en-GB"/>
        </w:rPr>
        <w:t>=</w:t>
      </w:r>
      <w:r w:rsidR="00EF53DA" w:rsidRPr="00EE2DE7">
        <w:rPr>
          <w:rFonts w:eastAsia="MS Mincho"/>
          <w:kern w:val="24"/>
          <w:lang w:eastAsia="ja-JP"/>
        </w:rPr>
        <w:t xml:space="preserve"> 1 (një) </w:t>
      </w:r>
      <w:r w:rsidR="00EF53DA" w:rsidRPr="00EE2DE7">
        <w:rPr>
          <w:rFonts w:eastAsia="MS Mincho"/>
          <w:kern w:val="24"/>
          <w:lang w:eastAsia="en-GB"/>
        </w:rPr>
        <w:t>koefi</w:t>
      </w:r>
      <w:r w:rsidR="00EF53DA" w:rsidRPr="00EE2DE7">
        <w:rPr>
          <w:rFonts w:eastAsia="MS Mincho"/>
          <w:kern w:val="24"/>
          <w:lang w:eastAsia="ja-JP"/>
        </w:rPr>
        <w:t>cienti i vështirësisë së Grupit II (viti I &amp; viti II);</w:t>
      </w:r>
    </w:p>
    <w:p w:rsidR="00EF53DA" w:rsidRPr="00EE2DE7" w:rsidRDefault="00CF3AE0" w:rsidP="00EF53DA">
      <w:pPr>
        <w:spacing w:line="276" w:lineRule="auto"/>
        <w:jc w:val="both"/>
        <w:rPr>
          <w:rFonts w:eastAsia="MS Mincho"/>
          <w:kern w:val="24"/>
          <w:lang w:eastAsia="ja-JP"/>
        </w:rPr>
      </w:pPr>
      <m:oMath>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3</m:t>
            </m:r>
          </m:sub>
        </m:sSub>
      </m:oMath>
      <w:r w:rsidR="00EF53DA" w:rsidRPr="00EE2DE7">
        <w:rPr>
          <w:rFonts w:eastAsia="MS Mincho"/>
          <w:kern w:val="24"/>
          <w:lang w:eastAsia="en-GB"/>
        </w:rPr>
        <w:t xml:space="preserve"> </w:t>
      </w:r>
      <w:r w:rsidR="00C057AA" w:rsidRPr="00EE2DE7">
        <w:rPr>
          <w:rFonts w:eastAsia="MS Mincho"/>
          <w:kern w:val="24"/>
          <w:lang w:eastAsia="en-GB"/>
        </w:rPr>
        <w:fldChar w:fldCharType="begin"/>
      </w:r>
      <w:r w:rsidR="00EF53DA" w:rsidRPr="00EE2DE7">
        <w:rPr>
          <w:rFonts w:eastAsia="MS Mincho"/>
          <w:kern w:val="24"/>
          <w:lang w:eastAsia="en-GB"/>
        </w:rPr>
        <w:instrText xml:space="preserve"> QUOTE </w:instrText>
      </w:r>
      <m:oMath>
        <m:sSub>
          <m:sSubPr>
            <m:ctrlPr>
              <w:rPr>
                <w:rFonts w:ascii="Cambria Math" w:eastAsia="Tw Cen MT" w:hAnsi="Cambria Math"/>
                <w:kern w:val="24"/>
              </w:rPr>
            </m:ctrlPr>
          </m:sSubPr>
          <m:e>
            <m:r>
              <m:rPr>
                <m:sty m:val="p"/>
              </m:rPr>
              <w:rPr>
                <w:rFonts w:ascii="Cambria Math" w:eastAsia="Tw Cen MT" w:hAnsi="Cambria Math"/>
                <w:kern w:val="24"/>
              </w:rPr>
              <m:t>f</m:t>
            </m:r>
          </m:e>
          <m:sub>
            <m:r>
              <m:rPr>
                <m:sty m:val="p"/>
              </m:rPr>
              <w:rPr>
                <w:rFonts w:ascii="Cambria Math" w:eastAsia="Tw Cen MT" w:hAnsi="Cambria Math"/>
                <w:kern w:val="24"/>
              </w:rPr>
              <m:t>1</m:t>
            </m:r>
          </m:sub>
        </m:sSub>
      </m:oMath>
      <w:r w:rsidR="00C057AA" w:rsidRPr="00EE2DE7">
        <w:rPr>
          <w:rFonts w:eastAsia="MS Mincho"/>
          <w:kern w:val="24"/>
          <w:lang w:eastAsia="en-GB"/>
        </w:rPr>
        <w:fldChar w:fldCharType="end"/>
      </w:r>
      <w:r w:rsidR="00EF53DA" w:rsidRPr="00EE2DE7">
        <w:rPr>
          <w:rFonts w:eastAsia="MS Mincho"/>
          <w:kern w:val="24"/>
          <w:lang w:eastAsia="en-GB"/>
        </w:rPr>
        <w:t>=</w:t>
      </w:r>
      <w:r w:rsidR="00EF53DA" w:rsidRPr="00EE2DE7">
        <w:rPr>
          <w:rFonts w:eastAsia="MS Mincho"/>
          <w:kern w:val="24"/>
          <w:lang w:eastAsia="ja-JP"/>
        </w:rPr>
        <w:t xml:space="preserve"> 2 (dy) koeficienti i vështirësisë për temën e vitit të dytë </w:t>
      </w:r>
      <m:oMath>
        <m:r>
          <m:rPr>
            <m:sty m:val="p"/>
          </m:rPr>
          <w:rPr>
            <w:rFonts w:ascii="Cambria Math" w:eastAsia="Tw Cen MT" w:hAnsi="Cambria Math"/>
            <w:kern w:val="24"/>
          </w:rPr>
          <m:t>(</m:t>
        </m:r>
        <m:sSub>
          <m:sSubPr>
            <m:ctrlPr>
              <w:rPr>
                <w:rFonts w:ascii="Cambria Math" w:eastAsia="Tw Cen MT" w:hAnsi="Cambria Math"/>
                <w:kern w:val="24"/>
              </w:rPr>
            </m:ctrlPr>
          </m:sSubPr>
          <m:e>
            <m:r>
              <w:rPr>
                <w:rFonts w:ascii="Cambria Math" w:eastAsia="Tw Cen MT" w:hAnsi="Cambria Math"/>
                <w:kern w:val="24"/>
              </w:rPr>
              <m:t>x</m:t>
            </m:r>
          </m:e>
          <m:sub>
            <m:r>
              <m:rPr>
                <m:sty m:val="p"/>
              </m:rPr>
              <w:rPr>
                <w:rFonts w:ascii="Cambria Math" w:eastAsia="Tw Cen MT" w:hAnsi="Cambria Math"/>
                <w:kern w:val="24"/>
              </w:rPr>
              <m:t xml:space="preserve">6 </m:t>
            </m:r>
          </m:sub>
        </m:sSub>
        <m:r>
          <m:rPr>
            <m:sty m:val="p"/>
          </m:rPr>
          <w:rPr>
            <w:rFonts w:ascii="Cambria Math" w:eastAsia="Tw Cen MT" w:hAnsi="Cambria Math"/>
            <w:kern w:val="24"/>
          </w:rPr>
          <m:t>)</m:t>
        </m:r>
      </m:oMath>
      <w:r w:rsidR="00EF53DA" w:rsidRPr="00EE2DE7">
        <w:rPr>
          <w:rFonts w:eastAsia="MS Mincho"/>
          <w:kern w:val="24"/>
          <w:lang w:eastAsia="ja-JP"/>
        </w:rPr>
        <w:t>;</w:t>
      </w:r>
    </w:p>
    <w:p w:rsidR="00EF53DA" w:rsidRPr="00EE2DE7" w:rsidRDefault="00CF3AE0" w:rsidP="00EF53DA">
      <w:pPr>
        <w:spacing w:line="276" w:lineRule="auto"/>
        <w:jc w:val="both"/>
        <w:rPr>
          <w:rFonts w:eastAsia="MS Mincho"/>
          <w:kern w:val="24"/>
          <w:lang w:eastAsia="ja-JP"/>
        </w:rPr>
      </w:pPr>
      <m:oMath>
        <m:sSub>
          <m:sSubPr>
            <m:ctrlPr>
              <w:rPr>
                <w:rFonts w:ascii="Cambria Math" w:eastAsia="Tw Cen MT" w:hAnsi="Cambria Math"/>
                <w:kern w:val="24"/>
              </w:rPr>
            </m:ctrlPr>
          </m:sSubPr>
          <m:e>
            <m:r>
              <w:rPr>
                <w:rFonts w:ascii="Cambria Math" w:eastAsia="Tw Cen MT" w:hAnsi="Cambria Math"/>
                <w:kern w:val="24"/>
              </w:rPr>
              <m:t>f</m:t>
            </m:r>
          </m:e>
          <m:sub>
            <m:r>
              <m:rPr>
                <m:sty m:val="p"/>
              </m:rPr>
              <w:rPr>
                <w:rFonts w:ascii="Cambria Math" w:eastAsia="Tw Cen MT" w:hAnsi="Cambria Math"/>
                <w:kern w:val="24"/>
              </w:rPr>
              <m:t>3</m:t>
            </m:r>
          </m:sub>
        </m:sSub>
      </m:oMath>
      <w:r w:rsidR="00C057AA" w:rsidRPr="00EE2DE7">
        <w:rPr>
          <w:rFonts w:eastAsia="MS Mincho"/>
          <w:kern w:val="24"/>
          <w:lang w:eastAsia="en-GB"/>
        </w:rPr>
        <w:fldChar w:fldCharType="begin"/>
      </w:r>
      <w:r w:rsidR="00EF53DA" w:rsidRPr="00EE2DE7">
        <w:rPr>
          <w:rFonts w:eastAsia="MS Mincho"/>
          <w:kern w:val="24"/>
          <w:lang w:eastAsia="en-GB"/>
        </w:rPr>
        <w:instrText xml:space="preserve"> QUOTE </w:instrText>
      </w:r>
      <m:oMath>
        <m:sSub>
          <m:sSubPr>
            <m:ctrlPr>
              <w:rPr>
                <w:rFonts w:ascii="Cambria Math" w:eastAsia="Tw Cen MT" w:hAnsi="Cambria Math"/>
                <w:kern w:val="24"/>
              </w:rPr>
            </m:ctrlPr>
          </m:sSubPr>
          <m:e>
            <m:r>
              <m:rPr>
                <m:sty m:val="p"/>
              </m:rPr>
              <w:rPr>
                <w:rFonts w:ascii="Cambria Math" w:eastAsia="Tw Cen MT" w:hAnsi="Cambria Math"/>
                <w:kern w:val="24"/>
              </w:rPr>
              <m:t>f</m:t>
            </m:r>
          </m:e>
          <m:sub>
            <m:r>
              <m:rPr>
                <m:sty m:val="p"/>
              </m:rPr>
              <w:rPr>
                <w:rFonts w:ascii="Cambria Math" w:eastAsia="Tw Cen MT" w:hAnsi="Cambria Math"/>
                <w:kern w:val="24"/>
              </w:rPr>
              <m:t>1</m:t>
            </m:r>
          </m:sub>
        </m:sSub>
      </m:oMath>
      <w:r w:rsidR="00C057AA" w:rsidRPr="00EE2DE7">
        <w:rPr>
          <w:rFonts w:eastAsia="MS Mincho"/>
          <w:kern w:val="24"/>
          <w:lang w:eastAsia="en-GB"/>
        </w:rPr>
        <w:fldChar w:fldCharType="end"/>
      </w:r>
      <w:r w:rsidR="00EF53DA" w:rsidRPr="00EE2DE7">
        <w:rPr>
          <w:rFonts w:eastAsia="MS Mincho"/>
          <w:kern w:val="24"/>
          <w:lang w:eastAsia="en-GB"/>
        </w:rPr>
        <w:t>=</w:t>
      </w:r>
      <w:r w:rsidR="00EF53DA" w:rsidRPr="00EE2DE7">
        <w:rPr>
          <w:rFonts w:eastAsia="MS Mincho"/>
          <w:kern w:val="24"/>
          <w:lang w:eastAsia="ja-JP"/>
        </w:rPr>
        <w:t xml:space="preserve"> 2 (dy) koeficienti i vështirësisë për vlerësimin e stazhit profesional nga tre magjistratët udhëheqës (x</w:t>
      </w:r>
      <w:r w:rsidR="00EF53DA" w:rsidRPr="00EE2DE7">
        <w:rPr>
          <w:rFonts w:eastAsia="MS Mincho"/>
          <w:kern w:val="24"/>
          <w:sz w:val="18"/>
          <w:szCs w:val="18"/>
          <w:lang w:eastAsia="ja-JP"/>
        </w:rPr>
        <w:t>7</w:t>
      </w:r>
      <w:r w:rsidR="00EF53DA" w:rsidRPr="00EE2DE7">
        <w:rPr>
          <w:rFonts w:eastAsia="MS Mincho"/>
          <w:kern w:val="24"/>
          <w:lang w:eastAsia="ja-JP"/>
        </w:rPr>
        <w:t>).</w:t>
      </w:r>
    </w:p>
    <w:p w:rsidR="00EF53DA" w:rsidRDefault="00EF53DA" w:rsidP="00EF53DA">
      <w:pPr>
        <w:tabs>
          <w:tab w:val="left" w:pos="1200"/>
        </w:tabs>
        <w:spacing w:line="276" w:lineRule="auto"/>
        <w:jc w:val="both"/>
        <w:rPr>
          <w:rFonts w:eastAsia="MS Mincho"/>
          <w:kern w:val="24"/>
          <w:lang w:eastAsia="ja-JP"/>
        </w:rPr>
      </w:pPr>
      <w:r w:rsidRPr="00EE2DE7">
        <w:rPr>
          <w:rFonts w:eastAsia="MS Mincho"/>
          <w:kern w:val="24"/>
          <w:lang w:eastAsia="ja-JP"/>
        </w:rPr>
        <w:tab/>
      </w: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Pr="00036DBB" w:rsidRDefault="00B02831" w:rsidP="00036DBB">
      <w:pPr>
        <w:spacing w:line="276" w:lineRule="auto"/>
        <w:ind w:right="26"/>
        <w:jc w:val="both"/>
        <w:rPr>
          <w:rFonts w:eastAsia="Tw Cen MT"/>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B02831" w:rsidRDefault="00B02831" w:rsidP="005F5AE4">
      <w:pPr>
        <w:pStyle w:val="My"/>
        <w:spacing w:line="276" w:lineRule="auto"/>
        <w:ind w:firstLine="360"/>
        <w:jc w:val="both"/>
        <w:rPr>
          <w:rFonts w:ascii="Times New Roman" w:hAnsi="Times New Roman" w:cs="Times New Roman"/>
          <w:lang w:val="en-US"/>
        </w:rPr>
      </w:pPr>
    </w:p>
    <w:p w:rsidR="00A87BD2" w:rsidRPr="006621AA" w:rsidRDefault="00A87BD2" w:rsidP="005F5AE4">
      <w:pPr>
        <w:pStyle w:val="My"/>
        <w:spacing w:line="276" w:lineRule="auto"/>
        <w:ind w:firstLine="360"/>
        <w:jc w:val="both"/>
        <w:rPr>
          <w:rFonts w:ascii="Times New Roman" w:hAnsi="Times New Roman" w:cs="Times New Roman"/>
          <w:color w:val="CC9966" w:themeColor="accent2"/>
          <w:lang w:val="en-US"/>
        </w:rPr>
      </w:pPr>
    </w:p>
    <w:p w:rsidR="007C61A8" w:rsidRPr="00EF53DA" w:rsidRDefault="007C61A8" w:rsidP="00EF53DA">
      <w:pPr>
        <w:spacing w:line="276" w:lineRule="auto"/>
        <w:rPr>
          <w:b/>
          <w:color w:val="CC9966" w:themeColor="accent2"/>
          <w:sz w:val="32"/>
        </w:rPr>
      </w:pPr>
    </w:p>
    <w:p w:rsidR="00A87BD2" w:rsidRPr="006621AA" w:rsidRDefault="00A87BD2" w:rsidP="00EF53DA">
      <w:pPr>
        <w:pStyle w:val="My"/>
        <w:spacing w:line="276" w:lineRule="auto"/>
        <w:ind w:firstLine="360"/>
        <w:jc w:val="both"/>
        <w:sectPr w:rsidR="00A87BD2" w:rsidRPr="006621AA" w:rsidSect="00A87BD2">
          <w:type w:val="continuous"/>
          <w:pgSz w:w="12240" w:h="15840" w:code="1"/>
          <w:pgMar w:top="630" w:right="990" w:bottom="1620" w:left="990" w:header="360" w:footer="371" w:gutter="0"/>
          <w:cols w:num="2" w:space="708"/>
          <w:docGrid w:linePitch="360"/>
        </w:sectPr>
      </w:pPr>
      <w:r w:rsidRPr="006621AA">
        <w:rPr>
          <w:rStyle w:val="sowc"/>
          <w:rFonts w:ascii="Times New Roman" w:hAnsi="Times New Roman" w:cs="Times New Roman"/>
          <w:lang w:val="en-US"/>
        </w:rPr>
        <w:t xml:space="preserve"> </w:t>
      </w:r>
    </w:p>
    <w:p w:rsidR="00D348B0" w:rsidRDefault="00D348B0" w:rsidP="005F5AE4">
      <w:pPr>
        <w:pStyle w:val="My"/>
        <w:spacing w:line="276" w:lineRule="auto"/>
        <w:ind w:firstLine="360"/>
        <w:jc w:val="both"/>
        <w:rPr>
          <w:rFonts w:ascii="Times New Roman" w:hAnsi="Times New Roman" w:cs="Times New Roman"/>
          <w:color w:val="CC9966" w:themeColor="accent2"/>
          <w:lang w:val="en-US"/>
        </w:rPr>
      </w:pPr>
    </w:p>
    <w:p w:rsidR="00EF53DA" w:rsidRDefault="00EF53DA" w:rsidP="005F5AE4">
      <w:pPr>
        <w:pStyle w:val="My"/>
        <w:spacing w:line="276" w:lineRule="auto"/>
        <w:ind w:firstLine="360"/>
        <w:jc w:val="both"/>
        <w:rPr>
          <w:rFonts w:ascii="Times New Roman" w:hAnsi="Times New Roman" w:cs="Times New Roman"/>
          <w:color w:val="CC9966" w:themeColor="accent2"/>
          <w:lang w:val="en-US"/>
        </w:rPr>
      </w:pPr>
    </w:p>
    <w:p w:rsidR="00EF53DA" w:rsidRPr="006621AA" w:rsidRDefault="00EF53DA" w:rsidP="005F5AE4">
      <w:pPr>
        <w:pStyle w:val="My"/>
        <w:spacing w:line="276" w:lineRule="auto"/>
        <w:ind w:firstLine="360"/>
        <w:jc w:val="both"/>
        <w:rPr>
          <w:rFonts w:ascii="Times New Roman" w:hAnsi="Times New Roman" w:cs="Times New Roman"/>
          <w:color w:val="CC9966" w:themeColor="accent2"/>
          <w:lang w:val="en-US"/>
        </w:rPr>
      </w:pPr>
    </w:p>
    <w:p w:rsidR="00BE34C5" w:rsidRPr="006621AA" w:rsidRDefault="00CF3AE0" w:rsidP="00B70876">
      <w:pPr>
        <w:tabs>
          <w:tab w:val="left" w:pos="10260"/>
        </w:tabs>
      </w:pPr>
      <w:r>
        <w:rPr>
          <w:noProof/>
          <w:lang w:eastAsia="en-US"/>
        </w:rPr>
        <w:lastRenderedPageBreak/>
        <w:pict>
          <v:rect id="Rectangle 199" o:spid="_x0000_s1031" style="position:absolute;margin-left:-25.75pt;margin-top:-24.65pt;width:601.9pt;height:43.2pt;z-index:2516935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" fillcolor="#4f81bd" stroked="f" strokeweight="2pt">
            <v:textbox>
              <w:txbxContent>
                <w:p w:rsidR="005372E3" w:rsidRPr="004B6956" w:rsidRDefault="005372E3" w:rsidP="004B6956">
                  <w:pPr>
                    <w:rPr>
                      <w:szCs w:val="56"/>
                    </w:rPr>
                  </w:pPr>
                  <w:r>
                    <w:rPr>
                      <w:b/>
                      <w:color w:val="FFFFFF" w:themeColor="background1"/>
                      <w:sz w:val="56"/>
                      <w:szCs w:val="56"/>
                    </w:rPr>
                    <w:t xml:space="preserve">2. </w:t>
                  </w:r>
                  <w:r w:rsidRPr="004B6956">
                    <w:rPr>
                      <w:b/>
                      <w:color w:val="FFFFFF" w:themeColor="background1"/>
                      <w:sz w:val="56"/>
                      <w:szCs w:val="56"/>
                    </w:rPr>
                    <w:t>PROGRAMI I FORMIMIT VAZHDUES</w:t>
                  </w:r>
                </w:p>
              </w:txbxContent>
            </v:textbox>
          </v:rect>
        </w:pict>
      </w:r>
    </w:p>
    <w:p w:rsidR="00F0441F" w:rsidRDefault="00F0441F" w:rsidP="00B70876">
      <w:pPr>
        <w:tabs>
          <w:tab w:val="left" w:pos="10260"/>
        </w:tabs>
      </w:pPr>
    </w:p>
    <w:p w:rsidR="00A41A6D" w:rsidRDefault="00A41A6D" w:rsidP="00B70876">
      <w:pPr>
        <w:tabs>
          <w:tab w:val="left" w:pos="10260"/>
        </w:tabs>
      </w:pPr>
    </w:p>
    <w:p w:rsidR="00A41A6D" w:rsidRPr="00A41A6D" w:rsidRDefault="00A41A6D" w:rsidP="00A41A6D">
      <w:pPr>
        <w:spacing w:line="276" w:lineRule="auto"/>
        <w:rPr>
          <w:b/>
          <w:color w:val="CC9966" w:themeColor="accent2"/>
          <w:sz w:val="32"/>
        </w:rPr>
      </w:pPr>
      <w:r w:rsidRPr="00A41A6D">
        <w:rPr>
          <w:b/>
          <w:color w:val="CC9966" w:themeColor="accent2"/>
          <w:sz w:val="32"/>
        </w:rPr>
        <w:t>2.1</w:t>
      </w:r>
      <w:r>
        <w:rPr>
          <w:b/>
          <w:color w:val="CC9966" w:themeColor="accent2"/>
          <w:sz w:val="32"/>
        </w:rPr>
        <w:t xml:space="preserve">. </w:t>
      </w:r>
      <w:r w:rsidRPr="00A41A6D">
        <w:rPr>
          <w:b/>
          <w:color w:val="CC9966" w:themeColor="accent2"/>
          <w:sz w:val="32"/>
        </w:rPr>
        <w:t xml:space="preserve"> Realizimi i Programit të Formimit Vazhdues për vitin akademik 2017-2018 </w:t>
      </w:r>
    </w:p>
    <w:p w:rsidR="009D4032" w:rsidRDefault="009D4032" w:rsidP="00A41A6D">
      <w:pPr>
        <w:pStyle w:val="My"/>
        <w:spacing w:line="276" w:lineRule="auto"/>
        <w:ind w:firstLine="360"/>
        <w:jc w:val="both"/>
        <w:rPr>
          <w:rFonts w:ascii="Times New Roman" w:hAnsi="Times New Roman" w:cs="Times New Roman"/>
          <w:lang w:val="en-US"/>
        </w:rPr>
      </w:pPr>
    </w:p>
    <w:p w:rsidR="009D4032" w:rsidRPr="00EE2DE7" w:rsidRDefault="009D4032" w:rsidP="009D4032">
      <w:pPr>
        <w:spacing w:line="276" w:lineRule="auto"/>
        <w:jc w:val="both"/>
        <w:outlineLvl w:val="0"/>
        <w:rPr>
          <w:rFonts w:eastAsia="Calibri"/>
          <w:b/>
          <w:i/>
          <w:color w:val="355D7E"/>
          <w:kern w:val="24"/>
        </w:rPr>
      </w:pPr>
      <w:r w:rsidRPr="00EE2DE7">
        <w:rPr>
          <w:rFonts w:eastAsia="Calibri"/>
          <w:b/>
          <w:color w:val="355D7E"/>
          <w:kern w:val="24"/>
        </w:rPr>
        <w:t>Baza ligjore:</w:t>
      </w:r>
    </w:p>
    <w:p w:rsidR="009D4032" w:rsidRPr="00EE2DE7" w:rsidRDefault="009D4032" w:rsidP="009D4032">
      <w:pPr>
        <w:autoSpaceDE w:val="0"/>
        <w:autoSpaceDN w:val="0"/>
        <w:adjustRightInd w:val="0"/>
        <w:spacing w:line="276" w:lineRule="auto"/>
        <w:ind w:firstLine="720"/>
        <w:jc w:val="both"/>
        <w:rPr>
          <w:rFonts w:eastAsia="Times New Roman"/>
          <w:lang w:eastAsia="en-GB"/>
        </w:rPr>
      </w:pPr>
      <w:r w:rsidRPr="00EE2DE7">
        <w:rPr>
          <w:rFonts w:eastAsia="Times New Roman"/>
          <w:lang w:eastAsia="en-GB"/>
        </w:rPr>
        <w:t>Baza ligjore në fuqi lidhur me Programin e Formimit Vazhdues [PFV] është:</w:t>
      </w:r>
    </w:p>
    <w:p w:rsidR="009D4032" w:rsidRPr="00EE2DE7" w:rsidRDefault="009D4032" w:rsidP="009D4032">
      <w:pPr>
        <w:autoSpaceDE w:val="0"/>
        <w:autoSpaceDN w:val="0"/>
        <w:adjustRightInd w:val="0"/>
        <w:spacing w:line="276" w:lineRule="auto"/>
        <w:ind w:firstLine="720"/>
        <w:jc w:val="both"/>
        <w:rPr>
          <w:rFonts w:eastAsia="Times New Roman"/>
          <w:lang w:eastAsia="en-GB"/>
        </w:rPr>
      </w:pPr>
      <w:r w:rsidRPr="00EE2DE7">
        <w:rPr>
          <w:rFonts w:eastAsia="Times New Roman"/>
          <w:lang w:eastAsia="en-GB"/>
        </w:rPr>
        <w:t>1. Ligji nr. 115/2016, “</w:t>
      </w:r>
      <w:r w:rsidRPr="00EE2DE7">
        <w:rPr>
          <w:rFonts w:eastAsia="Times New Roman"/>
          <w:i/>
          <w:lang w:eastAsia="en-GB"/>
        </w:rPr>
        <w:t>Për organet e qeverisjes së sistemit të drejtësisë</w:t>
      </w:r>
      <w:r w:rsidRPr="00EE2DE7">
        <w:rPr>
          <w:rFonts w:eastAsia="Times New Roman"/>
          <w:lang w:eastAsia="en-GB"/>
        </w:rPr>
        <w:t xml:space="preserve">”; </w:t>
      </w:r>
    </w:p>
    <w:p w:rsidR="009D4032" w:rsidRPr="00EE2DE7" w:rsidRDefault="009D4032" w:rsidP="009D4032">
      <w:pPr>
        <w:autoSpaceDE w:val="0"/>
        <w:autoSpaceDN w:val="0"/>
        <w:adjustRightInd w:val="0"/>
        <w:spacing w:line="276" w:lineRule="auto"/>
        <w:ind w:firstLine="720"/>
        <w:jc w:val="both"/>
        <w:rPr>
          <w:rFonts w:eastAsia="Times New Roman"/>
          <w:lang w:eastAsia="en-GB"/>
        </w:rPr>
      </w:pPr>
      <w:r w:rsidRPr="00EE2DE7">
        <w:rPr>
          <w:rFonts w:eastAsia="Times New Roman"/>
          <w:lang w:eastAsia="en-GB"/>
        </w:rPr>
        <w:t>2. Ligji nr. 96/2016, “</w:t>
      </w:r>
      <w:r w:rsidRPr="00EE2DE7">
        <w:rPr>
          <w:rFonts w:eastAsia="Times New Roman"/>
          <w:i/>
          <w:lang w:eastAsia="en-GB"/>
        </w:rPr>
        <w:t>Për statusin e gjyqtarëve dhe prokurorëve në Republikën e Shqipërisë</w:t>
      </w:r>
      <w:r w:rsidRPr="00EE2DE7">
        <w:rPr>
          <w:rFonts w:eastAsia="Times New Roman"/>
          <w:lang w:eastAsia="en-GB"/>
        </w:rPr>
        <w:t xml:space="preserve">”; </w:t>
      </w:r>
    </w:p>
    <w:p w:rsidR="009D4032" w:rsidRPr="00EE2DE7" w:rsidRDefault="009D4032" w:rsidP="009D4032">
      <w:pPr>
        <w:autoSpaceDE w:val="0"/>
        <w:autoSpaceDN w:val="0"/>
        <w:adjustRightInd w:val="0"/>
        <w:spacing w:line="276" w:lineRule="auto"/>
        <w:ind w:firstLine="720"/>
        <w:jc w:val="both"/>
        <w:rPr>
          <w:rFonts w:eastAsia="Times New Roman"/>
          <w:lang w:eastAsia="en-GB"/>
        </w:rPr>
      </w:pPr>
      <w:r>
        <w:rPr>
          <w:rFonts w:eastAsia="Times New Roman"/>
          <w:lang w:eastAsia="en-GB"/>
        </w:rPr>
        <w:t xml:space="preserve">3. </w:t>
      </w:r>
      <w:r w:rsidRPr="00EE2DE7">
        <w:rPr>
          <w:rFonts w:eastAsia="Times New Roman"/>
          <w:lang w:eastAsia="en-GB"/>
        </w:rPr>
        <w:t>Ligji nr. 97/2016, “</w:t>
      </w:r>
      <w:r w:rsidRPr="00EE2DE7">
        <w:rPr>
          <w:rFonts w:eastAsia="Times New Roman"/>
          <w:i/>
          <w:lang w:eastAsia="en-GB"/>
        </w:rPr>
        <w:t>Për organizimin dhe funksionimin e prokurorisë në Republikën e Shqipërisë</w:t>
      </w:r>
      <w:r w:rsidRPr="00EE2DE7">
        <w:rPr>
          <w:rFonts w:eastAsia="Times New Roman"/>
          <w:lang w:eastAsia="en-GB"/>
        </w:rPr>
        <w:t xml:space="preserve">”; </w:t>
      </w:r>
    </w:p>
    <w:p w:rsidR="009D4032" w:rsidRPr="00EE2DE7" w:rsidRDefault="009D4032" w:rsidP="009D4032">
      <w:pPr>
        <w:autoSpaceDE w:val="0"/>
        <w:autoSpaceDN w:val="0"/>
        <w:adjustRightInd w:val="0"/>
        <w:spacing w:line="276" w:lineRule="auto"/>
        <w:ind w:firstLine="720"/>
        <w:jc w:val="both"/>
        <w:rPr>
          <w:rFonts w:eastAsia="Times New Roman"/>
          <w:lang w:eastAsia="en-GB"/>
        </w:rPr>
      </w:pPr>
      <w:r w:rsidRPr="00EE2DE7">
        <w:rPr>
          <w:rFonts w:eastAsia="Times New Roman"/>
          <w:lang w:eastAsia="en-GB"/>
        </w:rPr>
        <w:t>4. Ligji nr. 98/2016, “</w:t>
      </w:r>
      <w:r w:rsidRPr="00EE2DE7">
        <w:rPr>
          <w:rFonts w:eastAsia="Times New Roman"/>
          <w:i/>
          <w:lang w:eastAsia="en-GB"/>
        </w:rPr>
        <w:t>Për organizimin e pushtetit gjyqësor në Republikën e Shqipërisë</w:t>
      </w:r>
      <w:r w:rsidRPr="00EE2DE7">
        <w:rPr>
          <w:rFonts w:eastAsia="Times New Roman"/>
          <w:lang w:eastAsia="en-GB"/>
        </w:rPr>
        <w:t xml:space="preserve">”. </w:t>
      </w:r>
    </w:p>
    <w:p w:rsidR="009D4032" w:rsidRPr="00EE2DE7" w:rsidRDefault="009D4032" w:rsidP="009D4032">
      <w:pPr>
        <w:spacing w:line="276" w:lineRule="auto"/>
        <w:ind w:firstLine="720"/>
        <w:jc w:val="both"/>
        <w:rPr>
          <w:rFonts w:eastAsia="Times New Roman"/>
          <w:kern w:val="24"/>
          <w:lang w:eastAsia="en-GB"/>
        </w:rPr>
      </w:pPr>
      <w:r w:rsidRPr="00EE2DE7">
        <w:rPr>
          <w:rFonts w:eastAsia="Times New Roman"/>
          <w:kern w:val="24"/>
          <w:lang w:eastAsia="en-GB"/>
        </w:rPr>
        <w:t xml:space="preserve">Hyrja në fuqi e këtyre ligjeve është shoqëruar me ndryshime të konsiderueshme përsa i takon Formimit Vazhdues të gjyqtarëve dhe prokurorëve në detyrë, por jo vetëm. </w:t>
      </w:r>
    </w:p>
    <w:p w:rsidR="009D4032" w:rsidRPr="00EE2DE7" w:rsidRDefault="009D4032" w:rsidP="009D4032">
      <w:pPr>
        <w:spacing w:line="276" w:lineRule="auto"/>
        <w:ind w:firstLine="720"/>
        <w:jc w:val="both"/>
        <w:rPr>
          <w:rFonts w:eastAsia="Times New Roman"/>
          <w:kern w:val="24"/>
          <w:lang w:eastAsia="en-GB"/>
        </w:rPr>
      </w:pPr>
      <w:r w:rsidRPr="00EE2DE7">
        <w:rPr>
          <w:rFonts w:eastAsia="Times New Roman"/>
          <w:kern w:val="24"/>
          <w:lang w:eastAsia="en-GB"/>
        </w:rPr>
        <w:t xml:space="preserve">Me ndryshimet e reja ligjore, subjekte të Formimit Vazhdues në Shkollën e Magjistraturës janë jo vetëm gjyqtarët e prokurorët në detyrë pranë gjykatave dhe prokurorive të rretheve gjyqësore dhe gjykatave dhe prokurorive të apelit, por edhe: gjyqtarët e Gjykatës së Lartë dhe prokurorët e Prokurorisë së Përgjithshme dhe të SPAK-ut;  avokatët e shtetit në detyrë;  këshilltarët dhe ndihmësit ligjorë në detyrë në gjykata dhe prokurori; kancelarët në detyrë në gjykata dhe prokurori si edhe gjyqtarët dhe prokurorët që nuk kalojnë procesin e </w:t>
      </w:r>
      <w:r>
        <w:rPr>
          <w:rFonts w:eastAsia="Times New Roman"/>
          <w:i/>
          <w:kern w:val="24"/>
          <w:lang w:eastAsia="en-GB"/>
        </w:rPr>
        <w:t>ve</w:t>
      </w:r>
      <w:r w:rsidRPr="00EE2DE7">
        <w:rPr>
          <w:rFonts w:eastAsia="Times New Roman"/>
          <w:i/>
          <w:kern w:val="24"/>
          <w:lang w:eastAsia="en-GB"/>
        </w:rPr>
        <w:t>tingut</w:t>
      </w:r>
      <w:r w:rsidRPr="00EE2DE7">
        <w:rPr>
          <w:rFonts w:eastAsia="Times New Roman"/>
          <w:kern w:val="24"/>
          <w:lang w:eastAsia="en-GB"/>
        </w:rPr>
        <w:t xml:space="preserve">. </w:t>
      </w:r>
    </w:p>
    <w:p w:rsidR="009D4032" w:rsidRPr="00EE2DE7" w:rsidRDefault="009D4032" w:rsidP="009D4032">
      <w:pPr>
        <w:spacing w:line="276" w:lineRule="auto"/>
        <w:ind w:firstLine="720"/>
        <w:jc w:val="both"/>
        <w:rPr>
          <w:rFonts w:eastAsia="Times New Roman"/>
          <w:kern w:val="24"/>
          <w:lang w:eastAsia="en-GB"/>
        </w:rPr>
      </w:pPr>
      <w:r w:rsidRPr="00EE2DE7">
        <w:rPr>
          <w:rFonts w:eastAsia="Times New Roman"/>
          <w:kern w:val="24"/>
          <w:lang w:eastAsia="en-GB"/>
        </w:rPr>
        <w:t>Ndryshimet në legjislacion, kanë ndikuar edhe te rregullat lidhur me Formimin Vazhdues, që përbën një prej veprimtarive më t</w:t>
      </w:r>
      <w:r w:rsidRPr="00EE2DE7">
        <w:rPr>
          <w:rFonts w:eastAsia="Calibri"/>
          <w:kern w:val="24"/>
        </w:rPr>
        <w:t>ë mëdha</w:t>
      </w:r>
      <w:r w:rsidRPr="00EE2DE7">
        <w:rPr>
          <w:rFonts w:eastAsia="Times New Roman"/>
          <w:kern w:val="24"/>
          <w:lang w:eastAsia="en-GB"/>
        </w:rPr>
        <w:t xml:space="preserve"> dhe më të rëndësishme të Shkollës së Magjistraturës. </w:t>
      </w:r>
    </w:p>
    <w:p w:rsidR="009D4032" w:rsidRPr="00EE2DE7" w:rsidRDefault="009D4032" w:rsidP="009D4032">
      <w:pPr>
        <w:spacing w:line="276" w:lineRule="auto"/>
        <w:ind w:firstLine="720"/>
        <w:jc w:val="both"/>
        <w:rPr>
          <w:rFonts w:eastAsia="Times New Roman"/>
          <w:kern w:val="24"/>
          <w:lang w:eastAsia="en-GB"/>
        </w:rPr>
      </w:pPr>
      <w:r w:rsidRPr="00EE2DE7">
        <w:rPr>
          <w:rFonts w:eastAsia="Times New Roman"/>
          <w:kern w:val="24"/>
          <w:lang w:eastAsia="en-GB"/>
        </w:rPr>
        <w:t>Në nenin 253 të ligjit nr. 115/2016, “</w:t>
      </w:r>
      <w:r w:rsidRPr="00EE2DE7">
        <w:rPr>
          <w:rFonts w:eastAsia="Times New Roman"/>
          <w:i/>
          <w:kern w:val="24"/>
          <w:lang w:eastAsia="en-GB"/>
        </w:rPr>
        <w:t>Për organet e qeverisjes së sistemit të drejtësisë</w:t>
      </w:r>
      <w:r w:rsidRPr="00EE2DE7">
        <w:rPr>
          <w:rFonts w:eastAsia="Times New Roman"/>
          <w:kern w:val="24"/>
          <w:lang w:eastAsia="en-GB"/>
        </w:rPr>
        <w:t>” është parashikuar një përfshirje më e drejtp</w:t>
      </w:r>
      <w:r w:rsidRPr="00EE2DE7">
        <w:rPr>
          <w:rFonts w:eastAsia="Calibri"/>
          <w:kern w:val="24"/>
        </w:rPr>
        <w:t>ërdrejtë</w:t>
      </w:r>
      <w:r w:rsidRPr="00EE2DE7">
        <w:rPr>
          <w:rFonts w:eastAsia="Times New Roman"/>
          <w:kern w:val="24"/>
          <w:lang w:eastAsia="en-GB"/>
        </w:rPr>
        <w:t xml:space="preserve"> e Këshillit Pedagogjik në disa aspekte të Formimit Vazhdues. Këshilli Pedagogjik:</w:t>
      </w:r>
    </w:p>
    <w:p w:rsidR="009D4032" w:rsidRPr="00EE2DE7" w:rsidRDefault="009D4032" w:rsidP="009D4032">
      <w:pPr>
        <w:spacing w:line="276" w:lineRule="auto"/>
        <w:ind w:firstLine="720"/>
        <w:jc w:val="both"/>
        <w:rPr>
          <w:rFonts w:eastAsia="Times New Roman"/>
          <w:kern w:val="24"/>
          <w:lang w:eastAsia="en-GB"/>
        </w:rPr>
      </w:pPr>
      <w:r w:rsidRPr="00EE2DE7">
        <w:rPr>
          <w:rFonts w:eastAsia="Times New Roman"/>
          <w:kern w:val="24"/>
          <w:lang w:eastAsia="en-GB"/>
        </w:rPr>
        <w:t xml:space="preserve">a) merr pjesë në përgatitjen e Programit Tematik të Formimit Vazhdues; </w:t>
      </w:r>
    </w:p>
    <w:p w:rsidR="009D4032" w:rsidRPr="00EE2DE7" w:rsidRDefault="009D4032" w:rsidP="009D4032">
      <w:pPr>
        <w:spacing w:line="276" w:lineRule="auto"/>
        <w:ind w:firstLine="720"/>
        <w:jc w:val="both"/>
        <w:rPr>
          <w:rFonts w:eastAsia="Times New Roman"/>
          <w:kern w:val="24"/>
          <w:lang w:eastAsia="en-GB"/>
        </w:rPr>
      </w:pPr>
      <w:r w:rsidRPr="00EE2DE7">
        <w:rPr>
          <w:rFonts w:eastAsia="Times New Roman"/>
          <w:kern w:val="24"/>
          <w:lang w:eastAsia="en-GB"/>
        </w:rPr>
        <w:t xml:space="preserve">b) jep mendim për hartimin e listës së trajnerëve të jashtëm dhe të brendshëm të Shkollës, duke analizuar çdo propozim që Drejtori i përcjell Këshillit Drejtues; </w:t>
      </w:r>
    </w:p>
    <w:p w:rsidR="009D4032" w:rsidRPr="00EE2DE7" w:rsidRDefault="009D4032" w:rsidP="009D4032">
      <w:pPr>
        <w:spacing w:line="276" w:lineRule="auto"/>
        <w:ind w:firstLine="720"/>
        <w:jc w:val="both"/>
        <w:rPr>
          <w:rFonts w:eastAsia="Calibri"/>
          <w:i/>
          <w:kern w:val="24"/>
        </w:rPr>
      </w:pPr>
      <w:r w:rsidRPr="00EE2DE7">
        <w:rPr>
          <w:rFonts w:eastAsia="Times New Roman"/>
          <w:kern w:val="24"/>
          <w:lang w:eastAsia="en-GB"/>
        </w:rPr>
        <w:t>c) analizon raportet e vlerësimit të punës së trajnerëve dhe i përcjell Këshillit Drejtues mendimin për vijimësinë e ushtrimit të detyrës prej tyre etj.</w:t>
      </w:r>
    </w:p>
    <w:p w:rsidR="009D4032" w:rsidRPr="00EE2DE7" w:rsidRDefault="009D4032" w:rsidP="009D4032">
      <w:pPr>
        <w:autoSpaceDE w:val="0"/>
        <w:autoSpaceDN w:val="0"/>
        <w:adjustRightInd w:val="0"/>
        <w:spacing w:line="276" w:lineRule="auto"/>
        <w:ind w:firstLine="720"/>
        <w:jc w:val="both"/>
        <w:rPr>
          <w:rFonts w:eastAsia="Times New Roman"/>
          <w:kern w:val="24"/>
          <w:lang w:eastAsia="en-GB"/>
        </w:rPr>
      </w:pPr>
      <w:r w:rsidRPr="00EE2DE7">
        <w:rPr>
          <w:rFonts w:eastAsia="Times New Roman"/>
          <w:kern w:val="24"/>
          <w:lang w:eastAsia="en-GB"/>
        </w:rPr>
        <w:t>Në vëmendje të këtij raporti, sjellim nenin 272 të ligjit nr. 115/2016, ku ndër të tjera nënvizohet se: “</w:t>
      </w:r>
      <w:r w:rsidRPr="00EE2DE7">
        <w:rPr>
          <w:rFonts w:eastAsia="Times New Roman"/>
          <w:i/>
          <w:kern w:val="24"/>
          <w:lang w:eastAsia="en-GB"/>
        </w:rPr>
        <w:t>Shkolla e Magjistraturës, në bashkëpunim me Këshillin e Lartë Gjyqësor, me Këshillin e Lartë të Prokurorisë dhe sipas rastit, me Avokaturën e Shtetit harton dhe organizon Programin e Formimit Vazhdues. Programi i Formimit Vazhdues miratohet nga Këshilli Drejtues i Shkollës. Pas miratimit të Programit të Formimit Vazhdues nga Këshilli Drejtues i Shkollës, Këshilli i Lartë Gjyqësor dhe Këshilli i Lartë i Prokurorisë, miratojnë pjesëmarrjen e gjyqtarëve dhe prokurorëve në Trajnimin Vazhdues, sipas programit të përcaktuar të Formimit Vazhdues dhe ia dërgojnë Shkollës së Magjistraturës në fillim të vitit akademik</w:t>
      </w:r>
      <w:r w:rsidRPr="00EE2DE7">
        <w:rPr>
          <w:rFonts w:eastAsia="Times New Roman"/>
          <w:kern w:val="24"/>
          <w:lang w:eastAsia="en-GB"/>
        </w:rPr>
        <w:t xml:space="preserve">”. </w:t>
      </w:r>
    </w:p>
    <w:p w:rsidR="009D4032" w:rsidRPr="00EE2DE7" w:rsidRDefault="009D4032" w:rsidP="009D4032">
      <w:pPr>
        <w:autoSpaceDE w:val="0"/>
        <w:autoSpaceDN w:val="0"/>
        <w:adjustRightInd w:val="0"/>
        <w:spacing w:line="276" w:lineRule="auto"/>
        <w:ind w:firstLine="720"/>
        <w:jc w:val="both"/>
        <w:rPr>
          <w:rFonts w:eastAsia="Times New Roman"/>
          <w:kern w:val="24"/>
          <w:lang w:eastAsia="en-GB"/>
        </w:rPr>
      </w:pPr>
      <w:r w:rsidRPr="00EE2DE7">
        <w:rPr>
          <w:rFonts w:eastAsia="Times New Roman"/>
          <w:kern w:val="24"/>
          <w:lang w:eastAsia="en-GB"/>
        </w:rPr>
        <w:t>Gjithashtu, sjellim në vëmendje pikën 6 të nenit 5 të ligjit nr. 96/2016, “</w:t>
      </w:r>
      <w:r w:rsidRPr="00EE2DE7">
        <w:rPr>
          <w:rFonts w:eastAsia="Times New Roman"/>
          <w:i/>
          <w:kern w:val="24"/>
          <w:lang w:eastAsia="en-GB"/>
        </w:rPr>
        <w:t xml:space="preserve">Këshillat bashkëpunojnë me Shkollën e Magjistraturës për analizën e nevojave për trajnim, zhvillimin e </w:t>
      </w:r>
      <w:r>
        <w:rPr>
          <w:rFonts w:eastAsia="Times New Roman"/>
          <w:i/>
          <w:kern w:val="24"/>
          <w:lang w:eastAsia="en-GB"/>
        </w:rPr>
        <w:t>ku</w:t>
      </w:r>
      <w:r w:rsidRPr="0069377A">
        <w:rPr>
          <w:rFonts w:eastAsia="Times New Roman"/>
          <w:i/>
          <w:color w:val="FF0000"/>
          <w:kern w:val="24"/>
          <w:lang w:eastAsia="en-GB"/>
        </w:rPr>
        <w:t>r</w:t>
      </w:r>
      <w:r w:rsidRPr="00EE2DE7">
        <w:rPr>
          <w:rFonts w:eastAsia="Times New Roman"/>
          <w:i/>
          <w:kern w:val="24"/>
          <w:lang w:eastAsia="en-GB"/>
        </w:rPr>
        <w:t xml:space="preserve">ikulave dhe programeve </w:t>
      </w:r>
      <w:r w:rsidRPr="00EE2DE7">
        <w:rPr>
          <w:rFonts w:eastAsia="Times New Roman"/>
          <w:i/>
          <w:kern w:val="24"/>
          <w:lang w:eastAsia="en-GB"/>
        </w:rPr>
        <w:lastRenderedPageBreak/>
        <w:t>trajnuese. Këshillat miratojnë rregulla më të hollësishme për përshtatshmërinë dhe përmbajtjen e programeve të Formimit Vazhdues, shërbimet lehtësuese të lejuara, si dhe për procedurën e pajisjes me leje për ndjekjen e këtyre trajnimeve</w:t>
      </w:r>
      <w:r w:rsidRPr="00EE2DE7">
        <w:rPr>
          <w:rFonts w:eastAsia="Times New Roman"/>
          <w:kern w:val="24"/>
          <w:lang w:eastAsia="en-GB"/>
        </w:rPr>
        <w:t>”. Përmbajtja e këtyre dispozitave ligjore kërkon zbatim rigoroz, jo vetëm në procesin makro të vlerësimit trevjeçar, por edhe në vlerësimin e nevojave të përvitshme.</w:t>
      </w:r>
    </w:p>
    <w:p w:rsidR="009D4032" w:rsidRPr="00EE2DE7" w:rsidRDefault="009D4032" w:rsidP="009D4032">
      <w:pPr>
        <w:autoSpaceDE w:val="0"/>
        <w:autoSpaceDN w:val="0"/>
        <w:adjustRightInd w:val="0"/>
        <w:spacing w:line="276" w:lineRule="auto"/>
        <w:ind w:firstLine="720"/>
        <w:jc w:val="both"/>
        <w:rPr>
          <w:rFonts w:eastAsia="Times New Roman"/>
          <w:kern w:val="24"/>
          <w:lang w:eastAsia="en-GB"/>
        </w:rPr>
      </w:pPr>
      <w:r w:rsidRPr="00EE2DE7">
        <w:rPr>
          <w:rFonts w:eastAsia="Calibri"/>
          <w:kern w:val="24"/>
        </w:rPr>
        <w:t>Duhet të theksojmë se me ndryshimet e reja në legjislacion, nuk kemi më të njëjtat rregullime lidhur me numrin e ditëve që gjyqtari dhe prokurori mund/duhet të trajnohet në Shkollën e Magjistraturës brenda një viti akademik ose periudhës pesëvjeçare. Sipas nenit 5, pika 3, të ligjit nr. 96/2016, ku bëhet fjalë për klauzolën ligjore lidhur me Formimin Vazhdues me një kohëzgjatje prej “</w:t>
      </w:r>
      <w:r w:rsidRPr="00EE2DE7">
        <w:rPr>
          <w:rFonts w:eastAsia="Calibri"/>
          <w:i/>
          <w:kern w:val="24"/>
        </w:rPr>
        <w:t>jo më pak se pesë ditë të plota në vit dhe jo më pak se 30 ditë të plota gjatë pesë viteve</w:t>
      </w:r>
      <w:r w:rsidRPr="00EE2DE7">
        <w:rPr>
          <w:rFonts w:eastAsia="Calibri"/>
          <w:kern w:val="24"/>
        </w:rPr>
        <w:t>” dhe “</w:t>
      </w:r>
      <w:r w:rsidRPr="00EE2DE7">
        <w:rPr>
          <w:rFonts w:eastAsia="Calibri"/>
          <w:i/>
          <w:kern w:val="24"/>
        </w:rPr>
        <w:t>jo më shumë se 40 ditë në vit dhe 200 ditë gjatë pesë viteve</w:t>
      </w:r>
      <w:r w:rsidRPr="00EE2DE7">
        <w:rPr>
          <w:rFonts w:eastAsia="Calibri"/>
          <w:kern w:val="24"/>
        </w:rPr>
        <w:t>”, vetë legjislatori, siç vihet re, e ka parashikuar pjesëmarrjen e gjyqtarëve dhe prokurorëve në Formimin Vazhdues si një të drejtë-detyrë. Kjo ka bërë, që herë pas here, të rikujtojmë gjyqtarët e prokurorët lidhur me përmbajtjen e kësaj dispozite dhe nga ana tjetër të koordinojmë më mirë me KLD-n</w:t>
      </w:r>
      <w:r w:rsidRPr="00EE2DE7">
        <w:rPr>
          <w:rFonts w:eastAsia="Times New Roman"/>
          <w:kern w:val="24"/>
          <w:lang w:eastAsia="en-GB"/>
        </w:rPr>
        <w:t xml:space="preserve">ë </w:t>
      </w:r>
      <w:r w:rsidRPr="00EE2DE7">
        <w:rPr>
          <w:rFonts w:eastAsia="Calibri"/>
          <w:kern w:val="24"/>
        </w:rPr>
        <w:t>dhe PP-n</w:t>
      </w:r>
      <w:r w:rsidRPr="00EE2DE7">
        <w:rPr>
          <w:rFonts w:eastAsia="Times New Roman"/>
          <w:kern w:val="24"/>
          <w:lang w:eastAsia="en-GB"/>
        </w:rPr>
        <w:t>ë,</w:t>
      </w:r>
      <w:r w:rsidRPr="00EE2DE7">
        <w:rPr>
          <w:rFonts w:eastAsia="Calibri"/>
          <w:kern w:val="24"/>
        </w:rPr>
        <w:t xml:space="preserve"> sepse organet e reja: Këshilli i Lartë Gjyqësor dhe Këshilli i Lartë i Prokurorisë nuk janë konstituuar ende. Ndërkohë që, sfida jonë e vazhdueshme, ka qenë ofrimi i një Programi të Formimit Vazhdues sa më cilësor në të gjithë komponentët e tij, si: tematika, ekspertiza, metodologjia, materialet didaktike etj. </w:t>
      </w:r>
    </w:p>
    <w:p w:rsidR="009D4032" w:rsidRPr="00EE2DE7" w:rsidRDefault="009D4032" w:rsidP="009D4032">
      <w:pPr>
        <w:spacing w:line="276" w:lineRule="auto"/>
        <w:ind w:firstLine="720"/>
        <w:jc w:val="both"/>
        <w:rPr>
          <w:rFonts w:eastAsia="Calibri"/>
          <w:kern w:val="24"/>
        </w:rPr>
      </w:pPr>
      <w:r w:rsidRPr="00EE2DE7">
        <w:rPr>
          <w:rFonts w:eastAsia="Calibri"/>
          <w:kern w:val="24"/>
        </w:rPr>
        <w:t xml:space="preserve">Shkolla e Magjistraturës, ka mbajtur në konsideratë sistemin e ri të vlerësimit të gjyqtarëve/prokurorëve në detyrë, sipas kërkesave që vijnë nga ligji për vlerësimin e magjistratëve. Kjo ka ndikuar në larminë tematike dhe cilësinë e sesioneve trajnuese, si dhe në frekuentimin korrekt të tyre. </w:t>
      </w:r>
    </w:p>
    <w:p w:rsidR="009D4032" w:rsidRPr="00EE2DE7" w:rsidRDefault="009D4032" w:rsidP="009D4032">
      <w:pPr>
        <w:spacing w:line="276" w:lineRule="auto"/>
        <w:jc w:val="both"/>
        <w:outlineLvl w:val="0"/>
        <w:rPr>
          <w:rFonts w:eastAsia="Calibri"/>
          <w:b/>
          <w:kern w:val="24"/>
        </w:rPr>
      </w:pPr>
    </w:p>
    <w:p w:rsidR="009D4032" w:rsidRDefault="009D4032" w:rsidP="009D4032">
      <w:pPr>
        <w:spacing w:line="276" w:lineRule="auto"/>
        <w:jc w:val="both"/>
        <w:outlineLvl w:val="0"/>
        <w:rPr>
          <w:rFonts w:eastAsia="Calibri"/>
          <w:b/>
          <w:color w:val="1F497D"/>
          <w:kern w:val="24"/>
        </w:rPr>
      </w:pPr>
      <w:r w:rsidRPr="00EE2DE7">
        <w:rPr>
          <w:rFonts w:eastAsia="Calibri"/>
          <w:b/>
          <w:color w:val="1F497D"/>
          <w:kern w:val="24"/>
        </w:rPr>
        <w:t>Programi dhe kalendari trevjeçar</w:t>
      </w:r>
    </w:p>
    <w:p w:rsidR="009D4032" w:rsidRPr="00EE2DE7" w:rsidRDefault="009D4032" w:rsidP="009D4032">
      <w:pPr>
        <w:spacing w:line="276" w:lineRule="auto"/>
        <w:jc w:val="both"/>
        <w:outlineLvl w:val="0"/>
        <w:rPr>
          <w:rFonts w:eastAsia="Calibri"/>
          <w:b/>
          <w:color w:val="1F497D"/>
          <w:kern w:val="24"/>
        </w:rPr>
      </w:pPr>
    </w:p>
    <w:p w:rsidR="009D4032" w:rsidRPr="00EE2DE7" w:rsidRDefault="009D4032" w:rsidP="009D4032">
      <w:pPr>
        <w:spacing w:line="276" w:lineRule="auto"/>
        <w:ind w:firstLine="720"/>
        <w:jc w:val="both"/>
        <w:rPr>
          <w:rFonts w:eastAsia="Calibri"/>
          <w:kern w:val="24"/>
        </w:rPr>
      </w:pPr>
      <w:r w:rsidRPr="00EE2DE7">
        <w:rPr>
          <w:rFonts w:eastAsia="Calibri"/>
          <w:kern w:val="24"/>
        </w:rPr>
        <w:t>Shkolla e Magjistratu</w:t>
      </w:r>
      <w:r>
        <w:rPr>
          <w:rFonts w:eastAsia="Calibri"/>
          <w:kern w:val="24"/>
        </w:rPr>
        <w:t>rës, sikurse është bërë e qartë</w:t>
      </w:r>
      <w:r w:rsidRPr="00EE2DE7">
        <w:rPr>
          <w:rFonts w:eastAsia="Calibri"/>
          <w:kern w:val="24"/>
        </w:rPr>
        <w:t xml:space="preserve"> edhe në raportet e mëparshme drejtuar KLD-s</w:t>
      </w:r>
      <w:r w:rsidRPr="00EE2DE7">
        <w:rPr>
          <w:rFonts w:eastAsia="Times New Roman"/>
          <w:kern w:val="24"/>
          <w:lang w:eastAsia="en-GB"/>
        </w:rPr>
        <w:t>ë</w:t>
      </w:r>
      <w:r w:rsidRPr="00EE2DE7">
        <w:rPr>
          <w:rFonts w:eastAsia="Calibri"/>
          <w:kern w:val="24"/>
        </w:rPr>
        <w:t>, ka ndërtuar një mekanizëm të vlerësimit të nevojave, i cili ka shtrirje “makro” dhe “mikro” dhe konkludon me miratimin e programit tematik trevjeçar lidhur me Formimin Vazhdues në formatin e një kalendari të përvitshëm dhe të përdit</w:t>
      </w:r>
      <w:r w:rsidRPr="00EE2DE7">
        <w:rPr>
          <w:rFonts w:eastAsia="Times New Roman"/>
          <w:kern w:val="24"/>
          <w:lang w:eastAsia="en-GB"/>
        </w:rPr>
        <w:t>ë</w:t>
      </w:r>
      <w:r w:rsidRPr="00EE2DE7">
        <w:rPr>
          <w:rFonts w:eastAsia="Calibri"/>
          <w:kern w:val="24"/>
        </w:rPr>
        <w:t xml:space="preserve">suar vit pas viti me tema të reja. Shkolla operon përmes programeve dhe kalendarëve njëvjeçarë. Ajo ka më shumë se një dekadë që ka ndryshuar në thelb vlerësimin e nevojave, duke kaluar nga nevojat e diktuara nga jashtë në ato të diktuara kryesisht nga gjyqtarët dhe prokurorët në detyrë. </w:t>
      </w:r>
    </w:p>
    <w:p w:rsidR="009D4032" w:rsidRPr="00EE2DE7" w:rsidRDefault="009D4032" w:rsidP="009D4032">
      <w:pPr>
        <w:spacing w:line="276" w:lineRule="auto"/>
        <w:ind w:firstLine="720"/>
        <w:jc w:val="both"/>
        <w:rPr>
          <w:rFonts w:eastAsia="Calibri"/>
          <w:kern w:val="24"/>
        </w:rPr>
      </w:pPr>
      <w:r w:rsidRPr="00EE2DE7">
        <w:rPr>
          <w:rFonts w:eastAsia="Calibri"/>
          <w:kern w:val="24"/>
        </w:rPr>
        <w:t>Ky raport, përfshin aktivitetet e PFV-s</w:t>
      </w:r>
      <w:r w:rsidRPr="00EE2DE7">
        <w:rPr>
          <w:rFonts w:eastAsia="Times New Roman"/>
          <w:kern w:val="24"/>
          <w:lang w:eastAsia="en-GB"/>
        </w:rPr>
        <w:t>ë</w:t>
      </w:r>
      <w:r w:rsidRPr="00EE2DE7">
        <w:rPr>
          <w:rFonts w:eastAsia="Calibri"/>
          <w:kern w:val="24"/>
        </w:rPr>
        <w:t xml:space="preserve"> për vitin akademik 2017-2018. Çdo vit, programi detajohet në një kalendar aktivitetesh dhe ndodh që në kalendar, të gjejmë edhe një pasurim të vetë programit, çka mundëson që Shkolla, t’u përgjigjet nevojave në çështje të caktuara në mënyrë dinamike dhe të vazhdueshme. Neni 272, pika 4 i ligjit nr. 115/2016 parashikon se: “</w:t>
      </w:r>
      <w:r w:rsidRPr="00EE2DE7">
        <w:rPr>
          <w:rFonts w:eastAsia="Calibri"/>
          <w:i/>
          <w:kern w:val="24"/>
        </w:rPr>
        <w:t>Shkolla e Magjistraturës, për raste të veçanta dhe përjashtimore, për të mos penguar procesin e trajnimit, nisur nga nevojat e gjyqtarëve dhe prokurorëve për trajnim, të ndryshimeve të legjislacionit dhe problemeve të praktikës, me kërkesë të tyre, ose me iniciativën e vet, mund të përditësojë programin tematik dhe listat e pjesëmarrësve në Trajnimin Vazhdues. Shkolla e Magjistraturës, në këtë rast, vë në dijeni Këshillin e Lartë Gjyqësor dhe Këshillin e Lartë të Prokurorisë për miratimin e listave</w:t>
      </w:r>
      <w:r w:rsidRPr="00EE2DE7">
        <w:rPr>
          <w:rFonts w:eastAsia="Calibri"/>
          <w:kern w:val="24"/>
        </w:rPr>
        <w:t>”.</w:t>
      </w:r>
    </w:p>
    <w:p w:rsidR="009D4032" w:rsidRDefault="009D4032" w:rsidP="009D4032">
      <w:pPr>
        <w:spacing w:line="276" w:lineRule="auto"/>
        <w:ind w:firstLine="720"/>
        <w:jc w:val="both"/>
        <w:rPr>
          <w:rFonts w:eastAsia="Calibri"/>
          <w:kern w:val="24"/>
        </w:rPr>
      </w:pPr>
      <w:r w:rsidRPr="00EE2DE7">
        <w:rPr>
          <w:rFonts w:eastAsia="Calibri"/>
          <w:kern w:val="24"/>
        </w:rPr>
        <w:t>Çdo prurje e re tematike dhe ekspertize në Formimin Vazhdues, ndjek rigorozisht të njëjtën procedurë miratimi sipas parashikimeve ligjore dhe akteve rregulluese të Shkollës së Magjistraturës.</w:t>
      </w:r>
    </w:p>
    <w:p w:rsidR="009D4032" w:rsidRDefault="009D4032" w:rsidP="009D4032">
      <w:pPr>
        <w:spacing w:line="276" w:lineRule="auto"/>
        <w:ind w:firstLine="720"/>
        <w:jc w:val="both"/>
        <w:rPr>
          <w:rFonts w:eastAsia="Calibri"/>
          <w:kern w:val="24"/>
        </w:rPr>
      </w:pPr>
    </w:p>
    <w:p w:rsidR="009D4032" w:rsidRPr="00987E36" w:rsidRDefault="009D4032" w:rsidP="009D4032">
      <w:pPr>
        <w:spacing w:line="276" w:lineRule="auto"/>
        <w:ind w:firstLine="720"/>
        <w:jc w:val="both"/>
        <w:rPr>
          <w:rFonts w:eastAsia="Calibri"/>
          <w:kern w:val="24"/>
        </w:rPr>
      </w:pPr>
    </w:p>
    <w:p w:rsidR="009D4032" w:rsidRDefault="009D4032" w:rsidP="009D4032">
      <w:pPr>
        <w:spacing w:line="276" w:lineRule="auto"/>
        <w:jc w:val="both"/>
        <w:outlineLvl w:val="0"/>
        <w:rPr>
          <w:rFonts w:eastAsia="Calibri"/>
          <w:b/>
          <w:color w:val="1F497D"/>
          <w:kern w:val="24"/>
        </w:rPr>
      </w:pPr>
      <w:r w:rsidRPr="00EE2DE7">
        <w:rPr>
          <w:rFonts w:eastAsia="Calibri"/>
          <w:b/>
          <w:color w:val="1F497D"/>
          <w:kern w:val="24"/>
        </w:rPr>
        <w:t xml:space="preserve">Standardet e Programit të Formimit Vazhdues në sfidën e një metodologjie bashkëkohore </w:t>
      </w:r>
    </w:p>
    <w:p w:rsidR="009D4032" w:rsidRPr="00EE2DE7" w:rsidRDefault="009D4032" w:rsidP="009D4032">
      <w:pPr>
        <w:spacing w:line="276" w:lineRule="auto"/>
        <w:jc w:val="both"/>
        <w:outlineLvl w:val="0"/>
        <w:rPr>
          <w:rFonts w:eastAsia="Calibri"/>
          <w:b/>
          <w:color w:val="1F497D"/>
          <w:kern w:val="24"/>
        </w:rPr>
      </w:pPr>
    </w:p>
    <w:p w:rsidR="009D4032" w:rsidRPr="00EE2DE7" w:rsidRDefault="009D4032" w:rsidP="009D4032">
      <w:pPr>
        <w:spacing w:line="276" w:lineRule="auto"/>
        <w:ind w:firstLine="720"/>
        <w:jc w:val="both"/>
        <w:rPr>
          <w:rFonts w:eastAsia="Calibri"/>
          <w:kern w:val="24"/>
        </w:rPr>
      </w:pPr>
      <w:r w:rsidRPr="00EE2DE7">
        <w:rPr>
          <w:rFonts w:eastAsia="Calibri"/>
          <w:kern w:val="24"/>
        </w:rPr>
        <w:t xml:space="preserve">Standardet e të gjithë komponentëve të Formimit Vazhdues janë në përmirësim të vazhdueshëm. Ka përmirësime cilësore të drejtimeve të ndryshme, të cilat janë prioritare për </w:t>
      </w:r>
      <w:bookmarkStart w:id="1" w:name="n"/>
      <w:bookmarkEnd w:id="1"/>
      <w:r w:rsidRPr="00EE2DE7">
        <w:rPr>
          <w:rFonts w:eastAsia="Calibri"/>
          <w:kern w:val="24"/>
        </w:rPr>
        <w:t xml:space="preserve">realizimin e kërkesave të një formimi të nivelit të lartë profesional, si edhe të garantimit të cilësisë edhe në disa drejtime të tjera, si në ato të karakterit logjistik dhe infrastrukturor. </w:t>
      </w:r>
    </w:p>
    <w:p w:rsidR="009D4032" w:rsidRPr="00EE2DE7" w:rsidRDefault="009D4032" w:rsidP="009D4032">
      <w:pPr>
        <w:spacing w:line="276" w:lineRule="auto"/>
        <w:ind w:firstLine="720"/>
        <w:jc w:val="both"/>
        <w:rPr>
          <w:rFonts w:eastAsia="Calibri"/>
          <w:kern w:val="24"/>
        </w:rPr>
      </w:pPr>
      <w:r w:rsidRPr="00EE2DE7">
        <w:rPr>
          <w:rFonts w:eastAsia="Calibri"/>
          <w:kern w:val="24"/>
        </w:rPr>
        <w:t>Po sjellim në vëmendje, në mënyrë të përsëritur, aspektet e konsoliduara dhe ato të reja lidhur me metodologjinë e ndjekur nga SHM-ja për hartimin e programit tematik. Kjo edhe me qëllim që të konsiderohen dhe të sugjerohen, sipas rastit, përmirësime eventuale. Kështu:</w:t>
      </w:r>
    </w:p>
    <w:p w:rsidR="009D4032" w:rsidRPr="00EE2DE7" w:rsidRDefault="009D4032" w:rsidP="005C2687">
      <w:pPr>
        <w:numPr>
          <w:ilvl w:val="0"/>
          <w:numId w:val="23"/>
        </w:numPr>
        <w:spacing w:line="276" w:lineRule="auto"/>
        <w:jc w:val="both"/>
        <w:rPr>
          <w:rFonts w:eastAsia="Calibri"/>
          <w:kern w:val="24"/>
        </w:rPr>
      </w:pPr>
      <w:r w:rsidRPr="00EE2DE7">
        <w:rPr>
          <w:rFonts w:eastAsia="Calibri"/>
          <w:kern w:val="24"/>
        </w:rPr>
        <w:t>Programi dhe kalendari janë hartuar me kujdes, duke u bazuar në kërkesat e drejtpërdrejta të gjyqtarëve dhe prokurorëve në detyrë, por jo vetëm. Për këtë është respektuar një metodologji bashkëkohore dhe e kryqëzuar informacioni duke shfrytëzuar:</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 xml:space="preserve">realizimin e takimeve rajonale me gjyqtarë e prokurorë dhe me drejtuesit e gjykatave e prokurorive në rreth dhe në apel; </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 xml:space="preserve">përgatitjes, mbledhjes dhe analizës së pyetësorëve për të tërhequr interesimin e çdo drejtuesi të gjykatave dhe prokurorive në nivel rrethi e apeli për çështjet e hasura në praktikë e që kanë interes për trajnim; </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analizës së rubrikës mbi sugjerime për trajnime të ardhshme që gjendet në çdo pyetësor, të shpërndarë gjatë sesioneve trajnuese;</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 xml:space="preserve">interesat e evidentuara gjatë realizimit të diskutimeve të drejtpërdrejta gjatë sesioneve trajnuese ose aktiviteteve specifike të natyrës së </w:t>
      </w:r>
      <w:r w:rsidRPr="00EE2DE7">
        <w:rPr>
          <w:rFonts w:eastAsia="Calibri"/>
          <w:i/>
          <w:kern w:val="24"/>
        </w:rPr>
        <w:t>brainstorming</w:t>
      </w:r>
      <w:r w:rsidRPr="00EE2DE7">
        <w:rPr>
          <w:rFonts w:eastAsia="Calibri"/>
          <w:kern w:val="24"/>
        </w:rPr>
        <w:t xml:space="preserve"> të përcjella nga ekspertët ose/dhe lehtësuesit;</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 xml:space="preserve">marrjes së mendimit të të gjitha institucioneve të tjera të interesuara për reformën në drejtësi, ose veprimtaria e të cilave është e lidhur me sistemin e drejtësisë; </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 xml:space="preserve">konsultave me partnerët ndërkombëtarë dhe miqtë e Shkollës; </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verifikimit të prioriteteve të qeverisë lidhur me legjislacionin e ri që ndikon në veprimtarinë e drejtësisë dhe në kuadrin e përqasjes me legjislacionin e BE-së, dokumentet strategjike, reformën ligjore dhe institucionale, si dhe angazhimeve të marra nga Shqipëria, në kuadër të procesit të Integrimit Europian;</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konsultimit me jurisprudencën e GJEDNJ-s</w:t>
      </w:r>
      <w:r w:rsidRPr="00EE2DE7">
        <w:rPr>
          <w:rFonts w:eastAsia="Times New Roman"/>
          <w:kern w:val="24"/>
          <w:lang w:eastAsia="en-GB"/>
        </w:rPr>
        <w:t>ë</w:t>
      </w:r>
      <w:r w:rsidRPr="00EE2DE7">
        <w:rPr>
          <w:rFonts w:eastAsia="Calibri"/>
          <w:kern w:val="24"/>
        </w:rPr>
        <w:t xml:space="preserve"> dhe të GJED-s</w:t>
      </w:r>
      <w:r w:rsidRPr="00EE2DE7">
        <w:rPr>
          <w:rFonts w:eastAsia="Times New Roman"/>
          <w:kern w:val="24"/>
          <w:lang w:eastAsia="en-GB"/>
        </w:rPr>
        <w:t>ë</w:t>
      </w:r>
      <w:r w:rsidRPr="00EE2DE7">
        <w:rPr>
          <w:rFonts w:eastAsia="Calibri"/>
          <w:kern w:val="24"/>
        </w:rPr>
        <w:t>;</w:t>
      </w:r>
    </w:p>
    <w:p w:rsidR="009D4032" w:rsidRPr="00EE2DE7" w:rsidRDefault="009D4032" w:rsidP="005C2687">
      <w:pPr>
        <w:numPr>
          <w:ilvl w:val="0"/>
          <w:numId w:val="28"/>
        </w:numPr>
        <w:spacing w:line="276" w:lineRule="auto"/>
        <w:jc w:val="both"/>
        <w:rPr>
          <w:rFonts w:eastAsia="Calibri"/>
          <w:kern w:val="24"/>
        </w:rPr>
      </w:pPr>
      <w:r w:rsidRPr="00EE2DE7">
        <w:rPr>
          <w:rFonts w:eastAsia="Calibri"/>
          <w:kern w:val="24"/>
        </w:rPr>
        <w:t>njohjes me detyrimet që burojnë nga instrumente ndërkombëtare të ratifikuara etj.</w:t>
      </w:r>
    </w:p>
    <w:p w:rsidR="009D4032" w:rsidRPr="00EE2DE7" w:rsidRDefault="009D4032" w:rsidP="005C2687">
      <w:pPr>
        <w:numPr>
          <w:ilvl w:val="0"/>
          <w:numId w:val="24"/>
        </w:numPr>
        <w:spacing w:line="276" w:lineRule="auto"/>
        <w:jc w:val="both"/>
        <w:rPr>
          <w:rFonts w:eastAsia="Calibri"/>
          <w:kern w:val="24"/>
        </w:rPr>
      </w:pPr>
      <w:r w:rsidRPr="00EE2DE7">
        <w:rPr>
          <w:rFonts w:eastAsia="Calibri"/>
          <w:kern w:val="24"/>
        </w:rPr>
        <w:t xml:space="preserve">Programi dhe kalendari pasqyron risitë dhe efektet e reformës ligjore dhe të reformës në drejtësi në përgjithësi, të cilat kanë efekt mbi veprimtarinë e gjyqtarëve dhe të prokurorëve. </w:t>
      </w:r>
    </w:p>
    <w:p w:rsidR="009D4032" w:rsidRPr="00EE2DE7" w:rsidRDefault="009D4032" w:rsidP="005C2687">
      <w:pPr>
        <w:numPr>
          <w:ilvl w:val="0"/>
          <w:numId w:val="24"/>
        </w:numPr>
        <w:spacing w:line="276" w:lineRule="auto"/>
        <w:jc w:val="both"/>
        <w:rPr>
          <w:rFonts w:eastAsia="Calibri"/>
          <w:kern w:val="24"/>
        </w:rPr>
      </w:pPr>
      <w:r w:rsidRPr="00EE2DE7">
        <w:rPr>
          <w:rFonts w:eastAsia="Calibri"/>
          <w:i/>
          <w:kern w:val="24"/>
        </w:rPr>
        <w:t>Temat e përsëritura</w:t>
      </w:r>
      <w:r w:rsidRPr="00EE2DE7">
        <w:rPr>
          <w:rFonts w:eastAsia="Calibri"/>
          <w:kern w:val="24"/>
        </w:rPr>
        <w:t>: duam ta nënvizojmë këtë çështje, sepse herë pas here në KLD është mbajtur një qëndrim jo miratues ndaj temave të cilat duket se përsëriten. Për këtë, vlen të sqarojmë se: përsëritja e temave të caktuara nuk ka të bëjë me vetëvendosje të stafit të SHM-s</w:t>
      </w:r>
      <w:r w:rsidRPr="00EE2DE7">
        <w:rPr>
          <w:rFonts w:eastAsia="Times New Roman"/>
          <w:kern w:val="24"/>
          <w:lang w:eastAsia="en-GB"/>
        </w:rPr>
        <w:t>ë</w:t>
      </w:r>
      <w:r w:rsidRPr="00EE2DE7">
        <w:rPr>
          <w:rFonts w:eastAsia="Calibri"/>
          <w:kern w:val="24"/>
        </w:rPr>
        <w:t>, por me vlerësimin e nevojave:</w:t>
      </w:r>
    </w:p>
    <w:p w:rsidR="009D4032" w:rsidRPr="00EE2DE7" w:rsidRDefault="009D4032" w:rsidP="005C2687">
      <w:pPr>
        <w:numPr>
          <w:ilvl w:val="0"/>
          <w:numId w:val="29"/>
        </w:numPr>
        <w:spacing w:line="276" w:lineRule="auto"/>
        <w:contextualSpacing/>
        <w:jc w:val="both"/>
        <w:rPr>
          <w:rFonts w:eastAsia="Calibri"/>
          <w:kern w:val="24"/>
        </w:rPr>
      </w:pPr>
      <w:r w:rsidRPr="00EE2DE7">
        <w:rPr>
          <w:rFonts w:eastAsia="Calibri"/>
          <w:kern w:val="24"/>
        </w:rPr>
        <w:t>Së pari, janë vet</w:t>
      </w:r>
      <w:r w:rsidRPr="00EE2DE7">
        <w:rPr>
          <w:rFonts w:eastAsia="Times New Roman"/>
          <w:kern w:val="24"/>
          <w:lang w:eastAsia="en-GB"/>
        </w:rPr>
        <w:t>ë</w:t>
      </w:r>
      <w:r w:rsidRPr="00EE2DE7">
        <w:rPr>
          <w:rFonts w:eastAsia="Calibri"/>
          <w:kern w:val="24"/>
        </w:rPr>
        <w:t xml:space="preserve"> përfituesit e shërbimit që i kërkojnë këto tema (vlen të theksojmë se pjesëmarrësit janë të ndryshëm në çdo temë të përsëritur);</w:t>
      </w:r>
    </w:p>
    <w:p w:rsidR="009D4032" w:rsidRPr="00EE2DE7" w:rsidRDefault="009D4032" w:rsidP="005C2687">
      <w:pPr>
        <w:numPr>
          <w:ilvl w:val="0"/>
          <w:numId w:val="29"/>
        </w:numPr>
        <w:spacing w:line="276" w:lineRule="auto"/>
        <w:contextualSpacing/>
        <w:jc w:val="both"/>
        <w:rPr>
          <w:rFonts w:eastAsia="Calibri"/>
          <w:kern w:val="24"/>
        </w:rPr>
      </w:pPr>
      <w:r w:rsidRPr="00EE2DE7">
        <w:rPr>
          <w:rFonts w:eastAsia="Calibri"/>
          <w:kern w:val="24"/>
        </w:rPr>
        <w:lastRenderedPageBreak/>
        <w:t>Së dyti, ekspertët instruktohen lidhur me zhvillimet e mëparshme të këtyre temave dhe varësisht auditorit, ndërtojnë një zhvillim të një niveli më të lartë dhe të p</w:t>
      </w:r>
      <w:r w:rsidRPr="00EE2DE7">
        <w:rPr>
          <w:rFonts w:eastAsia="Times New Roman"/>
          <w:kern w:val="24"/>
          <w:lang w:eastAsia="en-GB"/>
        </w:rPr>
        <w:t>ërditësuar</w:t>
      </w:r>
      <w:r w:rsidRPr="00EE2DE7">
        <w:rPr>
          <w:rFonts w:eastAsia="Calibri"/>
          <w:kern w:val="24"/>
        </w:rPr>
        <w:t xml:space="preserve"> me problemet e reja të praktikës.</w:t>
      </w:r>
    </w:p>
    <w:p w:rsidR="009D4032" w:rsidRPr="00EE2DE7" w:rsidRDefault="009D4032" w:rsidP="005C2687">
      <w:pPr>
        <w:numPr>
          <w:ilvl w:val="0"/>
          <w:numId w:val="29"/>
        </w:numPr>
        <w:spacing w:line="276" w:lineRule="auto"/>
        <w:contextualSpacing/>
        <w:jc w:val="both"/>
        <w:rPr>
          <w:rFonts w:eastAsia="Calibri"/>
          <w:kern w:val="24"/>
        </w:rPr>
      </w:pPr>
      <w:r w:rsidRPr="00EE2DE7">
        <w:rPr>
          <w:rFonts w:eastAsia="Calibri"/>
          <w:kern w:val="24"/>
        </w:rPr>
        <w:t>Së treti, ekspertëve ju vihet në dispozicion lista e pjesëmarrësve në aktivitetet e mëparshme dhe të aktivitetit që do të realizohet, kjo me qëllim që të shmanget çdo përsëritje ose anasjelltas.</w:t>
      </w:r>
    </w:p>
    <w:p w:rsidR="009D4032" w:rsidRPr="00EE2DE7" w:rsidRDefault="009D4032" w:rsidP="005C2687">
      <w:pPr>
        <w:numPr>
          <w:ilvl w:val="0"/>
          <w:numId w:val="29"/>
        </w:numPr>
        <w:spacing w:line="276" w:lineRule="auto"/>
        <w:contextualSpacing/>
        <w:jc w:val="both"/>
        <w:rPr>
          <w:rFonts w:eastAsia="Calibri"/>
          <w:kern w:val="24"/>
        </w:rPr>
      </w:pPr>
      <w:r w:rsidRPr="00EE2DE7">
        <w:rPr>
          <w:rFonts w:eastAsia="Calibri"/>
          <w:kern w:val="24"/>
        </w:rPr>
        <w:t xml:space="preserve">Së katërti, në kalendarin e aktiviteteve trajnuese të Shkollës së Magjistraturës, gjenden disa tema solide, të kërkuara në mënyrë të përsëritur, por të trajtuara në brendi në mënyrë, ose novatore, ose në një standard të ri edhe më të lartë e më të thelluar, ose me një grup të ri pjesëmarrësish. </w:t>
      </w:r>
    </w:p>
    <w:p w:rsidR="009D4032" w:rsidRPr="00EE2DE7" w:rsidRDefault="009D4032" w:rsidP="005C2687">
      <w:pPr>
        <w:numPr>
          <w:ilvl w:val="0"/>
          <w:numId w:val="29"/>
        </w:numPr>
        <w:spacing w:line="276" w:lineRule="auto"/>
        <w:contextualSpacing/>
        <w:jc w:val="both"/>
        <w:rPr>
          <w:rFonts w:eastAsia="Calibri"/>
          <w:kern w:val="24"/>
        </w:rPr>
      </w:pPr>
      <w:r w:rsidRPr="00EE2DE7">
        <w:rPr>
          <w:rFonts w:eastAsia="Calibri"/>
          <w:kern w:val="24"/>
        </w:rPr>
        <w:t>Së fundmi, vlen të theksojmë se duke dashur të mësojmë nga shkollat e vendeve të tjera, kemi konstatuar se kjo nuk është veçori e Programit të Trajnimit Vazhdues të Shkollës së Magjistraturës të Republikës së Shqipërisë, por e të gjitha shkollave dhe lidhet me nevoja dhe çështje të së drejtës, në të përditshmen e veprimtarisë së gjykatës dhe prokurorisë.</w:t>
      </w:r>
    </w:p>
    <w:p w:rsidR="009D4032" w:rsidRPr="00EE2DE7" w:rsidRDefault="009D4032" w:rsidP="005C2687">
      <w:pPr>
        <w:numPr>
          <w:ilvl w:val="0"/>
          <w:numId w:val="25"/>
        </w:numPr>
        <w:spacing w:line="276" w:lineRule="auto"/>
        <w:jc w:val="both"/>
        <w:rPr>
          <w:rFonts w:eastAsia="Calibri"/>
          <w:kern w:val="24"/>
        </w:rPr>
      </w:pPr>
      <w:r w:rsidRPr="00EE2DE7">
        <w:rPr>
          <w:rFonts w:eastAsia="Calibri"/>
          <w:kern w:val="24"/>
        </w:rPr>
        <w:t>Programi trajnues, ndërsa ka konsideruar si prioritet nevojat e evidentuara nga gjyqtarët dhe prokurorët, ka vlerësuar edhe çështje të rëndësishme që dalin nga konstatimet e partnerëve ndërkombëtar</w:t>
      </w:r>
      <w:r w:rsidRPr="00EE2DE7">
        <w:rPr>
          <w:rFonts w:eastAsia="Times New Roman"/>
          <w:kern w:val="24"/>
          <w:lang w:eastAsia="en-GB"/>
        </w:rPr>
        <w:t>ë</w:t>
      </w:r>
      <w:r w:rsidRPr="00EE2DE7">
        <w:rPr>
          <w:rFonts w:eastAsia="Calibri"/>
          <w:kern w:val="24"/>
        </w:rPr>
        <w:t xml:space="preserve"> apo të përvojave të marra nga shkollat e përparuara të magjistraturës në rajon e në botë, p.sh., e tillë ishte ndihmesa e Shkoll</w:t>
      </w:r>
      <w:r w:rsidRPr="00EE2DE7">
        <w:rPr>
          <w:rFonts w:eastAsia="Times New Roman"/>
          <w:kern w:val="24"/>
          <w:lang w:eastAsia="en-GB"/>
        </w:rPr>
        <w:t>ës së Magjistraturës</w:t>
      </w:r>
      <w:r w:rsidRPr="00EE2DE7">
        <w:rPr>
          <w:rFonts w:eastAsia="Calibri"/>
          <w:kern w:val="24"/>
        </w:rPr>
        <w:t xml:space="preserve"> së Holandës si dhe trajnimet e mbështetura prej KHH</w:t>
      </w:r>
      <w:r>
        <w:rPr>
          <w:rFonts w:eastAsia="Calibri"/>
          <w:kern w:val="24"/>
        </w:rPr>
        <w:t xml:space="preserve"> </w:t>
      </w:r>
      <w:r w:rsidRPr="00EE2DE7">
        <w:rPr>
          <w:rFonts w:eastAsia="Calibri"/>
          <w:kern w:val="24"/>
        </w:rPr>
        <w:t>[Komitetit të Helsinkit të Holandës], PAMECA, EURALIUS etj.</w:t>
      </w:r>
    </w:p>
    <w:p w:rsidR="009D4032" w:rsidRPr="00EE2DE7" w:rsidRDefault="009D4032" w:rsidP="005C2687">
      <w:pPr>
        <w:numPr>
          <w:ilvl w:val="0"/>
          <w:numId w:val="25"/>
        </w:numPr>
        <w:spacing w:line="276" w:lineRule="auto"/>
        <w:jc w:val="both"/>
        <w:rPr>
          <w:rFonts w:eastAsia="Calibri"/>
          <w:kern w:val="24"/>
        </w:rPr>
      </w:pPr>
      <w:r w:rsidRPr="00EE2DE7">
        <w:rPr>
          <w:rFonts w:eastAsia="Calibri"/>
          <w:kern w:val="24"/>
        </w:rPr>
        <w:t>Programi i Formimit Vazhdues është kujdesur që në të, të gjejnë pasqyrim gjithë zhvillimet që diktohen nga jurisprudenca e GJEDNJ-s</w:t>
      </w:r>
      <w:r w:rsidRPr="00EE2DE7">
        <w:rPr>
          <w:rFonts w:eastAsia="Times New Roman"/>
          <w:kern w:val="24"/>
          <w:lang w:eastAsia="en-GB"/>
        </w:rPr>
        <w:t>ë</w:t>
      </w:r>
      <w:r w:rsidRPr="00EE2DE7">
        <w:rPr>
          <w:rFonts w:eastAsia="Calibri"/>
          <w:kern w:val="24"/>
        </w:rPr>
        <w:t xml:space="preserve"> dhe GJED-s</w:t>
      </w:r>
      <w:r w:rsidRPr="00EE2DE7">
        <w:rPr>
          <w:rFonts w:eastAsia="Times New Roman"/>
          <w:kern w:val="24"/>
          <w:lang w:eastAsia="en-GB"/>
        </w:rPr>
        <w:t>ë</w:t>
      </w:r>
      <w:r w:rsidRPr="00EE2DE7">
        <w:rPr>
          <w:rFonts w:eastAsia="Calibri"/>
          <w:kern w:val="24"/>
        </w:rPr>
        <w:t xml:space="preserve"> me rëndësi të veçantë për gjyqtarët e prokurorët, si dhe standardet ndërkombëtare, të cilat bëhen pjesë e legjislacionit shqiptar. Në këtë drejtim, një rol të veçantë ka luajtur konsultimi me ekspertë ndërkombëtarë, veçanërisht të Këshillit të Europës, standardet e CEPEJ-t, platforma HELP, HUDOC etj.</w:t>
      </w:r>
    </w:p>
    <w:p w:rsidR="009D4032" w:rsidRPr="00EE2DE7" w:rsidRDefault="009D4032" w:rsidP="005C2687">
      <w:pPr>
        <w:numPr>
          <w:ilvl w:val="0"/>
          <w:numId w:val="26"/>
        </w:numPr>
        <w:spacing w:line="276" w:lineRule="auto"/>
        <w:jc w:val="both"/>
        <w:rPr>
          <w:rFonts w:eastAsia="Calibri"/>
          <w:kern w:val="24"/>
        </w:rPr>
      </w:pPr>
      <w:r w:rsidRPr="00EE2DE7">
        <w:rPr>
          <w:rFonts w:eastAsia="Calibri"/>
          <w:kern w:val="24"/>
        </w:rPr>
        <w:t>Për të elaboruar më tej standardet ndërkombëtare, përfshirë këtu të GJEDNJ-s</w:t>
      </w:r>
      <w:r w:rsidRPr="00EE2DE7">
        <w:rPr>
          <w:rFonts w:eastAsia="Times New Roman"/>
          <w:kern w:val="24"/>
          <w:lang w:eastAsia="en-GB"/>
        </w:rPr>
        <w:t>ë</w:t>
      </w:r>
      <w:r w:rsidRPr="00EE2DE7">
        <w:rPr>
          <w:rFonts w:eastAsia="Calibri"/>
          <w:kern w:val="24"/>
        </w:rPr>
        <w:t xml:space="preserve"> dhe GJED-s</w:t>
      </w:r>
      <w:r w:rsidRPr="00EE2DE7">
        <w:rPr>
          <w:rFonts w:eastAsia="Times New Roman"/>
          <w:kern w:val="24"/>
          <w:lang w:eastAsia="en-GB"/>
        </w:rPr>
        <w:t>ë</w:t>
      </w:r>
      <w:r w:rsidRPr="00EE2DE7">
        <w:rPr>
          <w:rFonts w:eastAsia="Calibri"/>
          <w:kern w:val="24"/>
        </w:rPr>
        <w:t>, janë realizuar takime të ndryshme me përfaqësues të partnerëve ndërkombëtarë, si Fondacioni SLYNN, organizata ISLP, Shkolla Holandeze etj. Veç kësaj, ekspertët ndërkombëtarë në të gjitha trajtesat e tyre, i janë referuar standardeve ndërkombëtare dhe jurisprudencës së GJEDNJ/GJED-s</w:t>
      </w:r>
      <w:r w:rsidRPr="00EE2DE7">
        <w:rPr>
          <w:rFonts w:eastAsia="Times New Roman"/>
          <w:kern w:val="24"/>
          <w:lang w:eastAsia="en-GB"/>
        </w:rPr>
        <w:t>ë</w:t>
      </w:r>
      <w:r w:rsidRPr="00EE2DE7">
        <w:rPr>
          <w:rFonts w:eastAsia="Calibri"/>
          <w:kern w:val="24"/>
          <w:vertAlign w:val="superscript"/>
        </w:rPr>
        <w:footnoteReference w:id="3"/>
      </w:r>
      <w:r w:rsidRPr="00EE2DE7">
        <w:rPr>
          <w:rFonts w:eastAsia="Calibri"/>
          <w:kern w:val="24"/>
        </w:rPr>
        <w:t>.</w:t>
      </w:r>
    </w:p>
    <w:p w:rsidR="009D4032" w:rsidRPr="00EE2DE7" w:rsidRDefault="009D4032" w:rsidP="005C2687">
      <w:pPr>
        <w:numPr>
          <w:ilvl w:val="0"/>
          <w:numId w:val="26"/>
        </w:numPr>
        <w:spacing w:line="276" w:lineRule="auto"/>
        <w:jc w:val="both"/>
        <w:rPr>
          <w:rFonts w:eastAsia="Calibri"/>
          <w:kern w:val="24"/>
        </w:rPr>
      </w:pPr>
      <w:r w:rsidRPr="00EE2DE7">
        <w:rPr>
          <w:rFonts w:eastAsia="Calibri"/>
          <w:kern w:val="24"/>
        </w:rPr>
        <w:t>Lidhur me pasqyrimin e jurisprudencës së GJEDNJ-s</w:t>
      </w:r>
      <w:r w:rsidRPr="00EE2DE7">
        <w:rPr>
          <w:rFonts w:eastAsia="Times New Roman"/>
          <w:kern w:val="24"/>
          <w:lang w:eastAsia="en-GB"/>
        </w:rPr>
        <w:t>ë</w:t>
      </w:r>
      <w:r w:rsidRPr="00EE2DE7">
        <w:rPr>
          <w:rFonts w:eastAsia="Calibri"/>
          <w:kern w:val="24"/>
        </w:rPr>
        <w:t xml:space="preserve"> dhe GJED-s</w:t>
      </w:r>
      <w:r w:rsidRPr="00EE2DE7">
        <w:rPr>
          <w:rFonts w:eastAsia="Times New Roman"/>
          <w:kern w:val="24"/>
          <w:lang w:eastAsia="en-GB"/>
        </w:rPr>
        <w:t>ë</w:t>
      </w:r>
      <w:r w:rsidRPr="00EE2DE7">
        <w:rPr>
          <w:rFonts w:eastAsia="Calibri"/>
          <w:kern w:val="24"/>
        </w:rPr>
        <w:t>, në marrëveshjen e bashkëpunimit me ekspertët/lehtësuesit, një nga detyrimet e tyre ka qenë që ata:</w:t>
      </w:r>
    </w:p>
    <w:p w:rsidR="009D4032" w:rsidRPr="00EE2DE7" w:rsidRDefault="009D4032" w:rsidP="005C2687">
      <w:pPr>
        <w:numPr>
          <w:ilvl w:val="1"/>
          <w:numId w:val="26"/>
        </w:numPr>
        <w:spacing w:line="276" w:lineRule="auto"/>
        <w:jc w:val="both"/>
        <w:rPr>
          <w:rFonts w:eastAsia="Calibri"/>
          <w:kern w:val="24"/>
        </w:rPr>
      </w:pPr>
      <w:r w:rsidRPr="00EE2DE7">
        <w:rPr>
          <w:rFonts w:eastAsia="Calibri"/>
          <w:kern w:val="24"/>
        </w:rPr>
        <w:t xml:space="preserve">të punojnë në grup për çdo seminar dhe në bashkëpunim me njëri-tjetrin dhe me asistencën e Shkollës së Magjistraturës të hartojnë programin/agjendën e trajnimit, të cilin do ta depozitojnë pranë Shkollës </w:t>
      </w:r>
      <w:r w:rsidRPr="00EE2DE7">
        <w:rPr>
          <w:rFonts w:eastAsia="Calibri"/>
          <w:b/>
          <w:i/>
          <w:kern w:val="24"/>
        </w:rPr>
        <w:t>jo më vonë se 30 ditë përpara trajnimit. Ky afat i lejon SHM-s</w:t>
      </w:r>
      <w:r w:rsidRPr="00EE2DE7">
        <w:rPr>
          <w:rFonts w:eastAsia="Times New Roman"/>
          <w:kern w:val="24"/>
          <w:lang w:eastAsia="en-GB"/>
        </w:rPr>
        <w:t>ë</w:t>
      </w:r>
      <w:r w:rsidRPr="00EE2DE7">
        <w:rPr>
          <w:rFonts w:eastAsia="Calibri"/>
          <w:b/>
          <w:i/>
          <w:kern w:val="24"/>
        </w:rPr>
        <w:t xml:space="preserve"> të mbajë në kontroll procesin lidhur me standardet ndërkombëtare dhe fokusin në problematikën e nevojave</w:t>
      </w:r>
      <w:r w:rsidRPr="00EE2DE7">
        <w:rPr>
          <w:rFonts w:eastAsia="Calibri"/>
          <w:kern w:val="24"/>
        </w:rPr>
        <w:t xml:space="preserve">; </w:t>
      </w:r>
    </w:p>
    <w:p w:rsidR="009D4032" w:rsidRPr="00EE2DE7" w:rsidRDefault="009D4032" w:rsidP="005C2687">
      <w:pPr>
        <w:numPr>
          <w:ilvl w:val="1"/>
          <w:numId w:val="26"/>
        </w:numPr>
        <w:spacing w:line="276" w:lineRule="auto"/>
        <w:jc w:val="both"/>
        <w:rPr>
          <w:rFonts w:eastAsia="Calibri"/>
          <w:kern w:val="24"/>
        </w:rPr>
      </w:pPr>
      <w:r w:rsidRPr="00EE2DE7">
        <w:rPr>
          <w:rFonts w:eastAsia="Calibri"/>
          <w:kern w:val="24"/>
        </w:rPr>
        <w:t xml:space="preserve">të depozitojnë pranë Shkollës së Magjistraturës temën e përgatitur në kopje fizike edhe elektronike, një listë me rubrikë pyetjesh për auditorin, një listë sintetike bibliografie (të asaj ku janë mbështetur dhe të asaj që sugjerohet për studime të mëtejshme), një listë kazusesh dhe vendimesh unifikuese të Gjykatës së Lartë, sipas rastit të Gjykatës Kushtetuese </w:t>
      </w:r>
      <w:r w:rsidRPr="00EE2DE7">
        <w:rPr>
          <w:rFonts w:eastAsia="Calibri"/>
          <w:b/>
          <w:kern w:val="24"/>
        </w:rPr>
        <w:t xml:space="preserve">dhe vendime të gjykatave ndërkombëtare të rëndësishme për çështje si të </w:t>
      </w:r>
      <w:r w:rsidRPr="00EE2DE7">
        <w:rPr>
          <w:rFonts w:eastAsia="Calibri"/>
          <w:b/>
          <w:kern w:val="24"/>
        </w:rPr>
        <w:lastRenderedPageBreak/>
        <w:t>GJEDNJ-s</w:t>
      </w:r>
      <w:r w:rsidRPr="00EE2DE7">
        <w:rPr>
          <w:rFonts w:eastAsia="Times New Roman"/>
          <w:b/>
          <w:kern w:val="24"/>
          <w:lang w:eastAsia="en-GB"/>
        </w:rPr>
        <w:t>ë</w:t>
      </w:r>
      <w:r w:rsidRPr="00EE2DE7">
        <w:rPr>
          <w:rFonts w:eastAsia="Calibri"/>
          <w:b/>
          <w:kern w:val="24"/>
        </w:rPr>
        <w:t xml:space="preserve"> dhe të GJED-s</w:t>
      </w:r>
      <w:r w:rsidRPr="00EE2DE7">
        <w:rPr>
          <w:rFonts w:eastAsia="Times New Roman"/>
          <w:b/>
          <w:kern w:val="24"/>
          <w:lang w:eastAsia="en-GB"/>
        </w:rPr>
        <w:t>ë</w:t>
      </w:r>
      <w:r w:rsidRPr="00EE2DE7">
        <w:rPr>
          <w:rFonts w:eastAsia="Calibri"/>
          <w:kern w:val="24"/>
        </w:rPr>
        <w:t xml:space="preserve">, si dhe bazën ligjore që gjyqtarët dhe prokurorët duhet të disponojnë gjatë trajnimit; </w:t>
      </w:r>
    </w:p>
    <w:p w:rsidR="009D4032" w:rsidRPr="00EE2DE7" w:rsidRDefault="009D4032" w:rsidP="005C2687">
      <w:pPr>
        <w:numPr>
          <w:ilvl w:val="1"/>
          <w:numId w:val="26"/>
        </w:numPr>
        <w:spacing w:line="276" w:lineRule="auto"/>
        <w:jc w:val="both"/>
        <w:rPr>
          <w:rFonts w:eastAsia="Calibri"/>
          <w:kern w:val="24"/>
        </w:rPr>
      </w:pPr>
      <w:r w:rsidRPr="00EE2DE7">
        <w:rPr>
          <w:rFonts w:eastAsia="Calibri"/>
          <w:bCs/>
          <w:kern w:val="24"/>
        </w:rPr>
        <w:t>të jenë të pranishëm në mënyrë të vazhdueshme gjatë të gjithë trajnimit;</w:t>
      </w:r>
      <w:r w:rsidRPr="00EE2DE7">
        <w:rPr>
          <w:rFonts w:eastAsia="Calibri"/>
          <w:kern w:val="24"/>
        </w:rPr>
        <w:t xml:space="preserve"> të njoftojnë Shkollën e Magjistraturës për çdo pamundësi pjesëmarrjeje </w:t>
      </w:r>
      <w:r w:rsidRPr="00EE2DE7">
        <w:rPr>
          <w:rFonts w:eastAsia="Calibri"/>
          <w:b/>
          <w:kern w:val="24"/>
        </w:rPr>
        <w:t>j</w:t>
      </w:r>
      <w:r w:rsidRPr="00EE2DE7">
        <w:rPr>
          <w:rFonts w:eastAsia="Calibri"/>
          <w:b/>
          <w:i/>
          <w:kern w:val="24"/>
        </w:rPr>
        <w:t>o më vonë se 1 muaj nga dita e trajnimit</w:t>
      </w:r>
      <w:r w:rsidRPr="00EE2DE7">
        <w:rPr>
          <w:rFonts w:eastAsia="Calibri"/>
          <w:kern w:val="24"/>
        </w:rPr>
        <w:t xml:space="preserve"> me përjashtim të rasteve të paparashikueshme. Në një rast të tillë ekspertët duhet të rekomandojnë ekspertin zëvendësues të mundshëm, duke pasur në konsideratë listën me emrat e miratuar nga Këshilli Drejtues, si dhe standardet e Shkollës së Magjistraturës dhe do të vënë në dispozicion punën parapërgatitore; </w:t>
      </w:r>
    </w:p>
    <w:p w:rsidR="009D4032" w:rsidRPr="00EE2DE7" w:rsidRDefault="009D4032" w:rsidP="005C2687">
      <w:pPr>
        <w:numPr>
          <w:ilvl w:val="1"/>
          <w:numId w:val="26"/>
        </w:numPr>
        <w:spacing w:line="276" w:lineRule="auto"/>
        <w:jc w:val="both"/>
        <w:rPr>
          <w:rFonts w:eastAsia="Calibri"/>
          <w:kern w:val="24"/>
        </w:rPr>
      </w:pPr>
      <w:r w:rsidRPr="00EE2DE7">
        <w:rPr>
          <w:rFonts w:eastAsia="Calibri"/>
          <w:kern w:val="24"/>
        </w:rPr>
        <w:t>të mbajnë shënime gjatë aktivitetit trajnues lidhur me: sugjerime dhe vërejtje të audiencës mbi tematikën aktuale dhe perspektive të trajnimit, ecurinë, metodologjinë e mësimdhënies së sugjeruar nga audienca dhe ata vetë.</w:t>
      </w:r>
    </w:p>
    <w:p w:rsidR="009D4032" w:rsidRPr="00EE2DE7" w:rsidRDefault="009D4032" w:rsidP="005C2687">
      <w:pPr>
        <w:numPr>
          <w:ilvl w:val="1"/>
          <w:numId w:val="26"/>
        </w:numPr>
        <w:spacing w:line="276" w:lineRule="auto"/>
        <w:jc w:val="both"/>
        <w:rPr>
          <w:rFonts w:eastAsia="Calibri"/>
          <w:kern w:val="24"/>
        </w:rPr>
      </w:pPr>
      <w:r w:rsidRPr="00EE2DE7">
        <w:rPr>
          <w:rFonts w:eastAsia="Calibri"/>
          <w:kern w:val="24"/>
        </w:rPr>
        <w:t xml:space="preserve">Sugjerimet për modifikime dhe/apo ndryshime të legjislacionit të dala nga seancat “diskutime dhe debat”,  t’i depozitojnë në Shkollë sipas rastit; </w:t>
      </w:r>
    </w:p>
    <w:p w:rsidR="009D4032" w:rsidRPr="00EE2DE7" w:rsidRDefault="009D4032" w:rsidP="005C2687">
      <w:pPr>
        <w:numPr>
          <w:ilvl w:val="1"/>
          <w:numId w:val="26"/>
        </w:numPr>
        <w:spacing w:line="276" w:lineRule="auto"/>
        <w:jc w:val="both"/>
        <w:rPr>
          <w:rFonts w:eastAsia="Calibri"/>
          <w:kern w:val="24"/>
        </w:rPr>
      </w:pPr>
      <w:r w:rsidRPr="00EE2DE7">
        <w:rPr>
          <w:rFonts w:eastAsia="Calibri"/>
          <w:kern w:val="24"/>
        </w:rPr>
        <w:t>Të bëhet një vlerësim i përgjithshëm i aktivitetit trajnues nga trajnuesit</w:t>
      </w:r>
      <w:r w:rsidRPr="00EE2DE7">
        <w:rPr>
          <w:rFonts w:eastAsia="Calibri"/>
          <w:bCs/>
          <w:kern w:val="24"/>
        </w:rPr>
        <w:t xml:space="preserve"> (gjyqtarë apo prokurorë) ose trajneri përgjegjës, eksperti dhe/apo specialisti i shkencave pedagogjike, në lidhje me standardet e kërkuara; pjesëmarrjen në seminare; aftësinë e pjesëmarrësve për t’u përqendruar brenda tematikës së seminarit; bashk</w:t>
      </w:r>
      <w:r w:rsidRPr="00EE2DE7">
        <w:rPr>
          <w:rFonts w:eastAsia="Calibri"/>
          <w:kern w:val="24"/>
        </w:rPr>
        <w:t>ë</w:t>
      </w:r>
      <w:r w:rsidRPr="00EE2DE7">
        <w:rPr>
          <w:rFonts w:eastAsia="Calibri"/>
          <w:bCs/>
          <w:kern w:val="24"/>
        </w:rPr>
        <w:t>koordinimi ekspert/leht</w:t>
      </w:r>
      <w:r w:rsidRPr="00EE2DE7">
        <w:rPr>
          <w:rFonts w:eastAsia="Calibri"/>
          <w:kern w:val="24"/>
        </w:rPr>
        <w:t>ë</w:t>
      </w:r>
      <w:r w:rsidRPr="00EE2DE7">
        <w:rPr>
          <w:rFonts w:eastAsia="Calibri"/>
          <w:bCs/>
          <w:kern w:val="24"/>
        </w:rPr>
        <w:t>sues; bashk</w:t>
      </w:r>
      <w:r w:rsidRPr="00EE2DE7">
        <w:rPr>
          <w:rFonts w:eastAsia="Calibri"/>
          <w:kern w:val="24"/>
        </w:rPr>
        <w:t>ë</w:t>
      </w:r>
      <w:r w:rsidRPr="00EE2DE7">
        <w:rPr>
          <w:rFonts w:eastAsia="Calibri"/>
          <w:bCs/>
          <w:kern w:val="24"/>
        </w:rPr>
        <w:t>bisedimi me auditorin apo edhe bashk</w:t>
      </w:r>
      <w:r w:rsidRPr="00EE2DE7">
        <w:rPr>
          <w:rFonts w:eastAsia="Calibri"/>
          <w:kern w:val="24"/>
        </w:rPr>
        <w:t>ë</w:t>
      </w:r>
      <w:r w:rsidRPr="00EE2DE7">
        <w:rPr>
          <w:rFonts w:eastAsia="Calibri"/>
          <w:bCs/>
          <w:kern w:val="24"/>
        </w:rPr>
        <w:t>rendimi i pun</w:t>
      </w:r>
      <w:r w:rsidRPr="00EE2DE7">
        <w:rPr>
          <w:rFonts w:eastAsia="Calibri"/>
          <w:kern w:val="24"/>
        </w:rPr>
        <w:t>ë</w:t>
      </w:r>
      <w:r w:rsidRPr="00EE2DE7">
        <w:rPr>
          <w:rFonts w:eastAsia="Calibri"/>
          <w:bCs/>
          <w:kern w:val="24"/>
        </w:rPr>
        <w:t>s me stafin administrativ t</w:t>
      </w:r>
      <w:r w:rsidRPr="00EE2DE7">
        <w:rPr>
          <w:rFonts w:eastAsia="Calibri"/>
          <w:kern w:val="24"/>
        </w:rPr>
        <w:t>ë</w:t>
      </w:r>
      <w:r w:rsidRPr="00EE2DE7">
        <w:rPr>
          <w:rFonts w:eastAsia="Calibri"/>
          <w:bCs/>
          <w:kern w:val="24"/>
        </w:rPr>
        <w:t xml:space="preserve"> Shkoll</w:t>
      </w:r>
      <w:r w:rsidRPr="00EE2DE7">
        <w:rPr>
          <w:rFonts w:eastAsia="Calibri"/>
          <w:kern w:val="24"/>
        </w:rPr>
        <w:t>ë</w:t>
      </w:r>
      <w:r w:rsidRPr="00EE2DE7">
        <w:rPr>
          <w:rFonts w:eastAsia="Calibri"/>
          <w:bCs/>
          <w:kern w:val="24"/>
        </w:rPr>
        <w:t>s n</w:t>
      </w:r>
      <w:r w:rsidRPr="00EE2DE7">
        <w:rPr>
          <w:rFonts w:eastAsia="Calibri"/>
          <w:kern w:val="24"/>
        </w:rPr>
        <w:t>ë</w:t>
      </w:r>
      <w:r w:rsidRPr="00EE2DE7">
        <w:rPr>
          <w:rFonts w:eastAsia="Calibri"/>
          <w:bCs/>
          <w:kern w:val="24"/>
        </w:rPr>
        <w:t xml:space="preserve"> organizimin dhe mbar</w:t>
      </w:r>
      <w:r w:rsidRPr="00EE2DE7">
        <w:rPr>
          <w:rFonts w:eastAsia="Calibri"/>
          <w:kern w:val="24"/>
        </w:rPr>
        <w:t>ë</w:t>
      </w:r>
      <w:r w:rsidRPr="00EE2DE7">
        <w:rPr>
          <w:rFonts w:eastAsia="Calibri"/>
          <w:bCs/>
          <w:kern w:val="24"/>
        </w:rPr>
        <w:t>vajtjen e nj</w:t>
      </w:r>
      <w:r w:rsidRPr="00EE2DE7">
        <w:rPr>
          <w:rFonts w:eastAsia="Calibri"/>
          <w:kern w:val="24"/>
        </w:rPr>
        <w:t>ë</w:t>
      </w:r>
      <w:r w:rsidRPr="00EE2DE7">
        <w:rPr>
          <w:rFonts w:eastAsia="Calibri"/>
          <w:bCs/>
          <w:kern w:val="24"/>
        </w:rPr>
        <w:t xml:space="preserve"> aktiviteti trajnues. </w:t>
      </w:r>
      <w:r w:rsidRPr="00EE2DE7">
        <w:rPr>
          <w:rFonts w:eastAsia="Calibri"/>
          <w:kern w:val="24"/>
        </w:rPr>
        <w:t xml:space="preserve">Të gjitha këto dhe të tjera që lidhen me Formimin Vazhdues paraqiten në një “procesverbal” pranë Shkollës së Magjistraturës, </w:t>
      </w:r>
      <w:r w:rsidRPr="00EE2DE7">
        <w:rPr>
          <w:rFonts w:eastAsia="Calibri"/>
          <w:b/>
          <w:i/>
          <w:kern w:val="24"/>
        </w:rPr>
        <w:t>jo më vonë se 2 javë pas trajnimit</w:t>
      </w:r>
      <w:r w:rsidRPr="00EE2DE7">
        <w:rPr>
          <w:rFonts w:eastAsia="Calibri"/>
          <w:kern w:val="24"/>
        </w:rPr>
        <w:t>.</w:t>
      </w:r>
    </w:p>
    <w:p w:rsidR="009D4032" w:rsidRPr="00EE2DE7" w:rsidRDefault="009D4032" w:rsidP="005C2687">
      <w:pPr>
        <w:numPr>
          <w:ilvl w:val="1"/>
          <w:numId w:val="26"/>
        </w:numPr>
        <w:spacing w:line="276" w:lineRule="auto"/>
        <w:jc w:val="both"/>
        <w:rPr>
          <w:rFonts w:eastAsia="Calibri"/>
          <w:kern w:val="24"/>
        </w:rPr>
      </w:pPr>
      <w:r w:rsidRPr="00EE2DE7">
        <w:rPr>
          <w:rFonts w:eastAsia="Calibri"/>
          <w:kern w:val="24"/>
        </w:rPr>
        <w:t xml:space="preserve">Pjesëmarrësit bëjnë një vlerësim </w:t>
      </w:r>
      <w:r w:rsidRPr="00EE2DE7">
        <w:rPr>
          <w:rFonts w:eastAsia="Calibri"/>
          <w:bCs/>
          <w:kern w:val="24"/>
        </w:rPr>
        <w:t>të seminarit referuar formular</w:t>
      </w:r>
      <w:r w:rsidRPr="00EE2DE7">
        <w:rPr>
          <w:rFonts w:eastAsia="Calibri"/>
          <w:kern w:val="24"/>
        </w:rPr>
        <w:t>ë</w:t>
      </w:r>
      <w:r w:rsidRPr="00EE2DE7">
        <w:rPr>
          <w:rFonts w:eastAsia="Calibri"/>
          <w:bCs/>
          <w:kern w:val="24"/>
        </w:rPr>
        <w:t>ve t</w:t>
      </w:r>
      <w:r w:rsidRPr="00EE2DE7">
        <w:rPr>
          <w:rFonts w:eastAsia="Calibri"/>
          <w:kern w:val="24"/>
        </w:rPr>
        <w:t>ë</w:t>
      </w:r>
      <w:r w:rsidRPr="00EE2DE7">
        <w:rPr>
          <w:rFonts w:eastAsia="Calibri"/>
          <w:bCs/>
          <w:kern w:val="24"/>
        </w:rPr>
        <w:t xml:space="preserve"> vler</w:t>
      </w:r>
      <w:r w:rsidRPr="00EE2DE7">
        <w:rPr>
          <w:rFonts w:eastAsia="Calibri"/>
          <w:kern w:val="24"/>
        </w:rPr>
        <w:t>ë</w:t>
      </w:r>
      <w:r w:rsidRPr="00EE2DE7">
        <w:rPr>
          <w:rFonts w:eastAsia="Calibri"/>
          <w:bCs/>
          <w:kern w:val="24"/>
        </w:rPr>
        <w:t>simit, t</w:t>
      </w:r>
      <w:r w:rsidRPr="00EE2DE7">
        <w:rPr>
          <w:rFonts w:eastAsia="Calibri"/>
          <w:kern w:val="24"/>
        </w:rPr>
        <w:t>ë</w:t>
      </w:r>
      <w:r w:rsidRPr="00EE2DE7">
        <w:rPr>
          <w:rFonts w:eastAsia="Calibri"/>
          <w:bCs/>
          <w:kern w:val="24"/>
        </w:rPr>
        <w:t xml:space="preserve"> cil</w:t>
      </w:r>
      <w:r w:rsidRPr="00EE2DE7">
        <w:rPr>
          <w:rFonts w:eastAsia="Calibri"/>
          <w:kern w:val="24"/>
        </w:rPr>
        <w:t>ë</w:t>
      </w:r>
      <w:r w:rsidRPr="00EE2DE7">
        <w:rPr>
          <w:rFonts w:eastAsia="Calibri"/>
          <w:bCs/>
          <w:kern w:val="24"/>
        </w:rPr>
        <w:t>t shp</w:t>
      </w:r>
      <w:r w:rsidRPr="00EE2DE7">
        <w:rPr>
          <w:rFonts w:eastAsia="Calibri"/>
          <w:kern w:val="24"/>
        </w:rPr>
        <w:t>ë</w:t>
      </w:r>
      <w:r w:rsidRPr="00EE2DE7">
        <w:rPr>
          <w:rFonts w:eastAsia="Calibri"/>
          <w:bCs/>
          <w:kern w:val="24"/>
        </w:rPr>
        <w:t>rndahen n</w:t>
      </w:r>
      <w:r w:rsidRPr="00EE2DE7">
        <w:rPr>
          <w:rFonts w:eastAsia="Calibri"/>
          <w:kern w:val="24"/>
        </w:rPr>
        <w:t>ë</w:t>
      </w:r>
      <w:r w:rsidRPr="00EE2DE7">
        <w:rPr>
          <w:rFonts w:eastAsia="Calibri"/>
          <w:bCs/>
          <w:kern w:val="24"/>
        </w:rPr>
        <w:t xml:space="preserve"> p</w:t>
      </w:r>
      <w:r w:rsidRPr="00EE2DE7">
        <w:rPr>
          <w:rFonts w:eastAsia="Calibri"/>
          <w:kern w:val="24"/>
        </w:rPr>
        <w:t>ë</w:t>
      </w:r>
      <w:r w:rsidRPr="00EE2DE7">
        <w:rPr>
          <w:rFonts w:eastAsia="Calibri"/>
          <w:bCs/>
          <w:kern w:val="24"/>
        </w:rPr>
        <w:t>rfundim t</w:t>
      </w:r>
      <w:r w:rsidRPr="00EE2DE7">
        <w:rPr>
          <w:rFonts w:eastAsia="Calibri"/>
          <w:kern w:val="24"/>
        </w:rPr>
        <w:t>ë</w:t>
      </w:r>
      <w:r w:rsidRPr="00EE2DE7">
        <w:rPr>
          <w:rFonts w:eastAsia="Calibri"/>
          <w:bCs/>
          <w:kern w:val="24"/>
        </w:rPr>
        <w:t xml:space="preserve"> çdo aktiviteti trajnues.</w:t>
      </w:r>
    </w:p>
    <w:p w:rsidR="009D4032" w:rsidRPr="00EE2DE7" w:rsidRDefault="009D4032" w:rsidP="009D4032">
      <w:pPr>
        <w:spacing w:line="276" w:lineRule="auto"/>
        <w:jc w:val="both"/>
        <w:rPr>
          <w:rFonts w:eastAsia="Calibri"/>
          <w:b/>
          <w:bCs/>
          <w:kern w:val="24"/>
        </w:rPr>
      </w:pPr>
    </w:p>
    <w:p w:rsidR="009D4032" w:rsidRPr="00EE2DE7" w:rsidRDefault="009D4032" w:rsidP="009D4032">
      <w:pPr>
        <w:spacing w:line="276" w:lineRule="auto"/>
        <w:jc w:val="both"/>
        <w:rPr>
          <w:rFonts w:eastAsia="Calibri"/>
          <w:bCs/>
          <w:color w:val="1F497D"/>
          <w:kern w:val="24"/>
        </w:rPr>
      </w:pPr>
      <w:r w:rsidRPr="00EE2DE7">
        <w:rPr>
          <w:rFonts w:eastAsia="Calibri"/>
          <w:b/>
          <w:bCs/>
          <w:color w:val="1F497D"/>
          <w:kern w:val="24"/>
        </w:rPr>
        <w:t>Lidhur me metodologjinë e trajnimit</w:t>
      </w:r>
      <w:r w:rsidRPr="00EE2DE7">
        <w:rPr>
          <w:rFonts w:eastAsia="Calibri"/>
          <w:bCs/>
          <w:color w:val="1F497D"/>
          <w:kern w:val="24"/>
        </w:rPr>
        <w:t>:</w:t>
      </w:r>
    </w:p>
    <w:p w:rsidR="009D4032" w:rsidRPr="00EE2DE7" w:rsidRDefault="009D4032" w:rsidP="009D4032">
      <w:pPr>
        <w:spacing w:line="276" w:lineRule="auto"/>
        <w:ind w:firstLine="720"/>
        <w:jc w:val="both"/>
        <w:rPr>
          <w:rFonts w:eastAsia="Calibri"/>
          <w:bCs/>
          <w:kern w:val="24"/>
        </w:rPr>
      </w:pPr>
      <w:r w:rsidRPr="00EE2DE7">
        <w:rPr>
          <w:rFonts w:eastAsia="Calibri"/>
          <w:bCs/>
          <w:kern w:val="24"/>
        </w:rPr>
        <w:t>Trajnerët/lehtësuesit/moderatorët e Formimit Vazhdues, përmes sesioneve të trajnimit të trajnerëve, janë udh</w:t>
      </w:r>
      <w:r w:rsidRPr="00EE2DE7">
        <w:rPr>
          <w:rFonts w:eastAsia="Calibri"/>
          <w:kern w:val="24"/>
        </w:rPr>
        <w:t>ëzuar</w:t>
      </w:r>
      <w:r w:rsidRPr="00EE2DE7">
        <w:rPr>
          <w:rFonts w:eastAsia="Calibri"/>
          <w:bCs/>
          <w:kern w:val="24"/>
        </w:rPr>
        <w:t xml:space="preserve"> që: </w:t>
      </w:r>
    </w:p>
    <w:p w:rsidR="009D4032" w:rsidRPr="00EE2DE7" w:rsidRDefault="009D4032" w:rsidP="005C2687">
      <w:pPr>
        <w:numPr>
          <w:ilvl w:val="0"/>
          <w:numId w:val="27"/>
        </w:numPr>
        <w:spacing w:line="276" w:lineRule="auto"/>
        <w:jc w:val="both"/>
        <w:rPr>
          <w:rFonts w:eastAsia="Calibri"/>
          <w:kern w:val="24"/>
        </w:rPr>
      </w:pPr>
      <w:r w:rsidRPr="00EE2DE7">
        <w:rPr>
          <w:rFonts w:eastAsia="Calibri"/>
          <w:bCs/>
          <w:kern w:val="24"/>
        </w:rPr>
        <w:t xml:space="preserve">të zhvillojnë një metodë interaktive trajnimi, ku auditori të trajtohet si partner; </w:t>
      </w:r>
    </w:p>
    <w:p w:rsidR="009D4032" w:rsidRPr="00EE2DE7" w:rsidRDefault="009D4032" w:rsidP="005C2687">
      <w:pPr>
        <w:numPr>
          <w:ilvl w:val="0"/>
          <w:numId w:val="27"/>
        </w:numPr>
        <w:spacing w:line="276" w:lineRule="auto"/>
        <w:jc w:val="both"/>
        <w:rPr>
          <w:rFonts w:eastAsia="Calibri"/>
          <w:kern w:val="24"/>
        </w:rPr>
      </w:pPr>
      <w:r w:rsidRPr="00EE2DE7">
        <w:rPr>
          <w:rFonts w:eastAsia="Calibri"/>
          <w:bCs/>
          <w:kern w:val="24"/>
        </w:rPr>
        <w:t xml:space="preserve">të bëjnë përpjekje për të ruajtur një ekuilibër mes trajtimit teorik dhe atij praktik të çështjeve objekt diskutimi, ku prioritet të kenë aspektet praktike; </w:t>
      </w:r>
    </w:p>
    <w:p w:rsidR="009D4032" w:rsidRPr="00EE2DE7" w:rsidRDefault="009D4032" w:rsidP="005C2687">
      <w:pPr>
        <w:numPr>
          <w:ilvl w:val="0"/>
          <w:numId w:val="27"/>
        </w:numPr>
        <w:spacing w:line="276" w:lineRule="auto"/>
        <w:jc w:val="both"/>
        <w:rPr>
          <w:rFonts w:eastAsia="Calibri"/>
          <w:kern w:val="24"/>
        </w:rPr>
      </w:pPr>
      <w:r w:rsidRPr="00EE2DE7">
        <w:rPr>
          <w:rFonts w:eastAsia="Calibri"/>
          <w:bCs/>
          <w:kern w:val="24"/>
        </w:rPr>
        <w:t>të kujdesen për ndërhyrje konstruktive, të shpërndara dhe jo dominuese, duke i lënë hapësirë të bollshme diskutimeve nga pjesëmarrësit;</w:t>
      </w:r>
    </w:p>
    <w:p w:rsidR="009D4032" w:rsidRPr="00EE2DE7" w:rsidRDefault="009D4032" w:rsidP="005C2687">
      <w:pPr>
        <w:numPr>
          <w:ilvl w:val="0"/>
          <w:numId w:val="27"/>
        </w:numPr>
        <w:spacing w:line="276" w:lineRule="auto"/>
        <w:jc w:val="both"/>
        <w:rPr>
          <w:rFonts w:eastAsia="Calibri"/>
          <w:kern w:val="24"/>
        </w:rPr>
      </w:pPr>
      <w:r w:rsidRPr="00EE2DE7">
        <w:rPr>
          <w:rFonts w:eastAsia="Calibri"/>
          <w:kern w:val="24"/>
        </w:rPr>
        <w:t>të kenë aftësinë për t</w:t>
      </w:r>
      <w:r w:rsidRPr="00EE2DE7">
        <w:rPr>
          <w:rFonts w:eastAsia="Calibri"/>
          <w:bCs/>
          <w:kern w:val="24"/>
        </w:rPr>
        <w:t xml:space="preserve">ë kombinuar disa metoda të mësimdhënies (prezantimi verbal, prezantimi me shkrim, puna në grup, pyetjet, përdorimi i mjeteve audiovizive etj.); </w:t>
      </w:r>
    </w:p>
    <w:p w:rsidR="009D4032" w:rsidRPr="00EE2DE7" w:rsidRDefault="009D4032" w:rsidP="005C2687">
      <w:pPr>
        <w:numPr>
          <w:ilvl w:val="0"/>
          <w:numId w:val="27"/>
        </w:numPr>
        <w:spacing w:line="276" w:lineRule="auto"/>
        <w:jc w:val="both"/>
        <w:rPr>
          <w:rFonts w:eastAsia="Calibri"/>
          <w:kern w:val="24"/>
        </w:rPr>
      </w:pPr>
      <w:r w:rsidRPr="00EE2DE7">
        <w:rPr>
          <w:rFonts w:eastAsia="Calibri"/>
          <w:bCs/>
          <w:kern w:val="24"/>
        </w:rPr>
        <w:t>të kenë aftësi për të prezantuar materialin e seminarit pa ndonjë mbështetje dokumentare</w:t>
      </w:r>
      <w:r w:rsidRPr="00EE2DE7">
        <w:rPr>
          <w:rFonts w:eastAsia="Calibri"/>
          <w:kern w:val="24"/>
        </w:rPr>
        <w:t xml:space="preserve"> dhe për të p</w:t>
      </w:r>
      <w:r w:rsidRPr="00EE2DE7">
        <w:rPr>
          <w:rFonts w:eastAsia="Calibri"/>
          <w:bCs/>
          <w:kern w:val="24"/>
        </w:rPr>
        <w:t>ërgatitur materialet burimore të mësimdhënies së nevojshme për seminarin, mbështetjen e aspekteve teorike dhe praktike, për të vëzhguar nivelin e duhur të ndërveprimit dhe mbështetjen e metodave të mësimdhënies, qëllimit dhe tematikës së prezantimeve dhe për të qëndruar brenda kohës së përcaktuar për një prezantim;</w:t>
      </w:r>
    </w:p>
    <w:p w:rsidR="00022A5D" w:rsidRPr="00022A5D" w:rsidRDefault="009D4032" w:rsidP="005C2687">
      <w:pPr>
        <w:numPr>
          <w:ilvl w:val="0"/>
          <w:numId w:val="27"/>
        </w:numPr>
        <w:spacing w:line="276" w:lineRule="auto"/>
        <w:jc w:val="both"/>
        <w:rPr>
          <w:rFonts w:eastAsia="Calibri"/>
          <w:kern w:val="24"/>
        </w:rPr>
      </w:pPr>
      <w:r w:rsidRPr="00EE2DE7">
        <w:rPr>
          <w:rFonts w:eastAsia="Calibri"/>
          <w:bCs/>
          <w:kern w:val="24"/>
        </w:rPr>
        <w:t>të bashkëpunojnë me trajnerët e tjerë që janë të përfshirë në të njëjtin seminar apo tematikë, me qëllim bashkërendimin dhe përcaktimin e rolit përkatës që gjithsecili do të ketë.</w:t>
      </w:r>
    </w:p>
    <w:p w:rsidR="00022A5D" w:rsidRDefault="00CF3AE0" w:rsidP="00022A5D">
      <w:pPr>
        <w:spacing w:line="276" w:lineRule="auto"/>
        <w:jc w:val="both"/>
        <w:rPr>
          <w:rFonts w:eastAsia="Calibri"/>
          <w:b/>
          <w:kern w:val="24"/>
        </w:rPr>
      </w:pPr>
      <w:r>
        <w:rPr>
          <w:rFonts w:eastAsia="Calibri"/>
          <w:b/>
          <w:noProof/>
          <w:kern w:val="24"/>
          <w:lang w:eastAsia="en-US"/>
        </w:rPr>
        <w:lastRenderedPageBreak/>
        <w:pict>
          <v:rect id="_x0000_s1082" style="position:absolute;left:0;text-align:left;margin-left:24.3pt;margin-top:-15.8pt;width:461.4pt;height:110.9pt;z-index:251732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" fillcolor="#4f81bd" stroked="f" strokeweight="2pt">
            <v:textbox inset="21.6pt,21.6pt,21.6pt,21.6pt">
              <w:txbxContent>
                <w:p w:rsidR="005372E3" w:rsidRPr="00392D9B" w:rsidRDefault="005372E3" w:rsidP="00022A5D">
                  <w:pPr>
                    <w:jc w:val="center"/>
                    <w:rPr>
                      <w:b/>
                      <w:sz w:val="30"/>
                      <w:szCs w:val="30"/>
                    </w:rPr>
                  </w:pPr>
                  <w:r w:rsidRPr="00392D9B">
                    <w:rPr>
                      <w:b/>
                      <w:sz w:val="30"/>
                      <w:szCs w:val="30"/>
                    </w:rPr>
                    <w:t>Me krijimin e KLGJ-së dhe KLP-së do të bashkëpunohet me Shkollën për çdo përmirësim që nuk gjendet i pasqyruar si në procesin e vlerësimit të nevojave, përzgjedhjes së ekspertëve/lehtësuesve, marrëveshjes, metodologjisë etj.</w:t>
                  </w:r>
                </w:p>
                <w:p w:rsidR="005372E3" w:rsidRPr="006621AA" w:rsidRDefault="005372E3" w:rsidP="00022A5D">
                  <w:pPr>
                    <w:jc w:val="center"/>
                  </w:pPr>
                </w:p>
              </w:txbxContent>
            </v:textbox>
            <w10:wrap type="topAndBottom"/>
          </v:rect>
        </w:pict>
      </w:r>
    </w:p>
    <w:p w:rsidR="009D4032" w:rsidRPr="00EE2DE7" w:rsidRDefault="009D4032" w:rsidP="00022A5D">
      <w:pPr>
        <w:spacing w:line="276" w:lineRule="auto"/>
        <w:jc w:val="both"/>
        <w:rPr>
          <w:rFonts w:eastAsia="Calibri"/>
          <w:kern w:val="24"/>
        </w:rPr>
      </w:pPr>
      <w:r w:rsidRPr="00EE2DE7">
        <w:rPr>
          <w:rFonts w:eastAsia="Calibri"/>
          <w:kern w:val="24"/>
        </w:rPr>
        <w:t xml:space="preserve">Kalendari i </w:t>
      </w:r>
      <w:r w:rsidRPr="00EE2DE7">
        <w:rPr>
          <w:rFonts w:eastAsia="Calibri"/>
          <w:b/>
          <w:kern w:val="24"/>
        </w:rPr>
        <w:t>TV-s</w:t>
      </w:r>
      <w:r w:rsidRPr="00EE2DE7">
        <w:rPr>
          <w:rFonts w:eastAsia="Times New Roman"/>
          <w:b/>
          <w:kern w:val="24"/>
          <w:lang w:eastAsia="en-GB"/>
        </w:rPr>
        <w:t>ë</w:t>
      </w:r>
      <w:r w:rsidRPr="00EE2DE7">
        <w:rPr>
          <w:rFonts w:eastAsia="Calibri"/>
          <w:kern w:val="24"/>
        </w:rPr>
        <w:t xml:space="preserve"> gjatë vitit akademik 2017-2018 është pasuruar me tema të reja të rëndësishme, ku krahas problematikës vendase është parë në mënyrë krahasuese edhe jurisprudenca e vendeve të tjera. </w:t>
      </w:r>
    </w:p>
    <w:p w:rsidR="009D4032" w:rsidRPr="00EE2DE7" w:rsidRDefault="009D4032" w:rsidP="00022A5D">
      <w:pPr>
        <w:spacing w:line="276" w:lineRule="auto"/>
        <w:jc w:val="both"/>
        <w:rPr>
          <w:rFonts w:eastAsia="Calibri"/>
          <w:kern w:val="24"/>
        </w:rPr>
      </w:pPr>
      <w:r w:rsidRPr="00EE2DE7">
        <w:rPr>
          <w:rFonts w:eastAsia="Calibri"/>
          <w:kern w:val="24"/>
        </w:rPr>
        <w:t xml:space="preserve">Vlen të përmendim aktivitetet trajnuese në të cilat janë trajtuar: </w:t>
      </w:r>
    </w:p>
    <w:p w:rsidR="009D4032" w:rsidRPr="00EE2DE7" w:rsidRDefault="009D4032" w:rsidP="009D4032">
      <w:pPr>
        <w:spacing w:line="276" w:lineRule="auto"/>
        <w:ind w:firstLine="720"/>
        <w:jc w:val="both"/>
        <w:rPr>
          <w:rFonts w:eastAsia="Calibri"/>
          <w:kern w:val="24"/>
        </w:rPr>
      </w:pPr>
      <w:r w:rsidRPr="00EE2DE7">
        <w:rPr>
          <w:rFonts w:eastAsia="MS Mincho"/>
          <w:kern w:val="24"/>
        </w:rPr>
        <w:t xml:space="preserve">Raporti prokurori-gjykatë, </w:t>
      </w:r>
      <w:r w:rsidRPr="00EE2DE7">
        <w:rPr>
          <w:rFonts w:eastAsia="Calibri"/>
          <w:kern w:val="24"/>
        </w:rPr>
        <w:t xml:space="preserve">roli i gjyqtarit të seancës paraprake, risitë dhe ecuria e praktikës gjyqësore. </w:t>
      </w:r>
      <w:r w:rsidRPr="00EE2DE7">
        <w:rPr>
          <w:rFonts w:eastAsia="Calibri"/>
          <w:b/>
          <w:kern w:val="24"/>
        </w:rPr>
        <w:t>Seanca paraprake,</w:t>
      </w:r>
      <w:r w:rsidRPr="00EE2DE7">
        <w:rPr>
          <w:rFonts w:eastAsia="Calibri"/>
          <w:kern w:val="24"/>
        </w:rPr>
        <w:t xml:space="preserve"> si një nga risitë e sjella në Kodin e Procedurës Penale (ligji nr. 35/2017 në Kodin e Procedurës Penale). Veçoritë e seancës paraprake dhe të drejtat e palëve. Vendimi për plotësimin e hetimeve. Ndryshimi i akuzës në seancën paraprake. Paraqitja e kërkesës për gjykim të shkurtuar në seancën paraprake dhe roli që ka gjyqtari i seancës paraprake në shqyrtimin e saj. Llojet e vendimeve që merr gjyqtari në përfundim të seancës paraprake. Elementet e vendimit të seancës paraprake dhe fashikulli i gjykimit. </w:t>
      </w:r>
      <w:r w:rsidRPr="00EE2DE7">
        <w:rPr>
          <w:rFonts w:eastAsia="MS Mincho"/>
          <w:kern w:val="24"/>
        </w:rPr>
        <w:t xml:space="preserve">Drejtësia penale për të mitur, legjislacioni në këtë fushë. </w:t>
      </w:r>
      <w:r w:rsidRPr="00EE2DE7">
        <w:rPr>
          <w:rFonts w:eastAsia="Calibri"/>
          <w:kern w:val="24"/>
        </w:rPr>
        <w:t>Standardet ndërkombëtare lidhur me parimet e drejtësisë miqësore për të miturit dhe risitë e legjislacionit shqiptar (Kodi i Procedurës Penale dhe Kodi i Drejtësisë Penale për të Mitur).</w:t>
      </w:r>
      <w:r w:rsidRPr="00EE2DE7">
        <w:rPr>
          <w:rFonts w:eastAsia="Calibri"/>
          <w:color w:val="00B0F0"/>
          <w:kern w:val="24"/>
        </w:rPr>
        <w:t xml:space="preserve"> </w:t>
      </w:r>
      <w:r w:rsidRPr="00EE2DE7">
        <w:rPr>
          <w:rFonts w:eastAsia="Calibri"/>
          <w:bCs/>
          <w:kern w:val="24"/>
        </w:rPr>
        <w:t>Drejtësia</w:t>
      </w:r>
      <w:r w:rsidRPr="00EE2DE7">
        <w:rPr>
          <w:rFonts w:eastAsia="Calibri"/>
          <w:bCs/>
          <w:kern w:val="24"/>
          <w:shd w:val="clear" w:color="auto" w:fill="FFFFFF"/>
        </w:rPr>
        <w:t xml:space="preserve"> restauruese dhe ndërmjetësimi viktimë-kundërvuajtës për të miturit. Hetimi i krimit financiar në rastet e trafikimit të qenieve njerëzore. Vendet e parajsës fiskale: karakteristikat dhe instrumentet ndërkombëtare për gjurmimin e evazionit fiskal. Asistencë për mbrojtjen më të mirë në lidhje me nenin 10 (Liria e shprehjes) të KEDNJ-s</w:t>
      </w:r>
      <w:r w:rsidRPr="00EE2DE7">
        <w:rPr>
          <w:rFonts w:eastAsia="Times New Roman"/>
          <w:kern w:val="24"/>
          <w:lang w:eastAsia="en-GB"/>
        </w:rPr>
        <w:t>ë</w:t>
      </w:r>
      <w:r w:rsidRPr="00EE2DE7">
        <w:rPr>
          <w:rFonts w:eastAsia="Calibri"/>
          <w:bCs/>
          <w:kern w:val="24"/>
          <w:shd w:val="clear" w:color="auto" w:fill="FFFFFF"/>
        </w:rPr>
        <w:t xml:space="preserve">, përmes zbatimit të standardeve të Gjykatës Europiane të të Drejtave të Njeriut. Zhvillime të legjislacionit të prokurimeve publike dhe fiskale, në këndvështrimin e gjykimeve administrative. Konfiskimi i aseteve në kuadër të ligjit antimafia. Risitë procedurale në gjykimet administrative. Zhvillime të legjislacionit fiskal, në këndvështrimin e gjykimeve administrative. Teknikat e ngritjes së akuzës. Ekzekutimi i vendimeve gjyqësore të formës së prerë. Dënimet alternative dhe shërbimi i provës. Efektet e vendimmarrjes së Gjykatës Kushtetuese për vendimmarrjen e gjykatave të zakonshme. Krimi kibernetik. Roli i sistemit të drejtësisë në mbrojtjen dhe promovimin e standardeve të barazisë dhe mosdiskriminimit gjinor. Bashkëpunimi ndërkombëtar në çështjet penale. Vlerësimi i interesit më të lartë të fëmijës në çështjet me elementë të huaj. Mbrojtja në gjykatë e grave viktima/të mbijetuara të dhunës në familje. Konventa e Këshillit të Europës për Parandalimin dhe Luftimin e Dhunës ndaj Grave dhe Dhunës në Familje (Konventa e Stambollit). Instituti juridik </w:t>
      </w:r>
      <w:r w:rsidRPr="00EE2DE7">
        <w:rPr>
          <w:rFonts w:eastAsia="Calibri"/>
          <w:bCs/>
          <w:i/>
          <w:kern w:val="24"/>
          <w:shd w:val="clear" w:color="auto" w:fill="FFFFFF"/>
        </w:rPr>
        <w:t>res iudicata</w:t>
      </w:r>
      <w:r w:rsidRPr="00EE2DE7">
        <w:rPr>
          <w:rFonts w:eastAsia="Calibri"/>
          <w:bCs/>
          <w:kern w:val="24"/>
          <w:shd w:val="clear" w:color="auto" w:fill="FFFFFF"/>
        </w:rPr>
        <w:t xml:space="preserve">, kuptimi material dhe procedural, dimensionet kushtetuese, konventore dhe ligjore. Ligji europian. Konkurrenca. E drejta administrative në kontekstin ndërkombëtar. Refleksione rreth praktikës gjyqësore në lidhje me institutin e bashkëpunimit në veprën penale dhe problematikat e krijuara pas daljes së Vendimit Unifikues nr.4, datë 15.4.2011 të Kolegjeve të Bashkuara të Gjykatës së Lartë. Pavlefshmëria dhe mospërdorimi i provave atipike në një procedim penal. Shkeljet e Pronësisë Intelektuale në Internet, si dhe veprat në vende publike. Veprat penale në fushën e tatimeve. Etika gjyqësore, parimet, respektimi i solemnitetit në drejtim të etikës gjyqësore. Roli i gjyqtarit kombëtar dhe zbatimi i legjislacionit të BE-së. Gjykimi në mungesë në procesin civil. Administrimi modern i gjykatave. E drejta e internetit. Çështje rregullatore dhe tregtare. Pavlefshmëria e themelimit të shoqërive tregtare. </w:t>
      </w:r>
      <w:r w:rsidRPr="00EE2DE7">
        <w:rPr>
          <w:rFonts w:eastAsia="Calibri"/>
          <w:bCs/>
          <w:kern w:val="24"/>
          <w:shd w:val="clear" w:color="auto" w:fill="FFFFFF"/>
        </w:rPr>
        <w:lastRenderedPageBreak/>
        <w:t xml:space="preserve">Shkrimi ligjor dhe arsyetimi i vendimeve gjyqësore, elementet e tij sipas dispozitave procedurale dhe materiale. Të drejtat e njeriut. Juridiksioni kushtetues </w:t>
      </w:r>
      <w:r w:rsidRPr="0069377A">
        <w:rPr>
          <w:rFonts w:eastAsia="Calibri"/>
          <w:bCs/>
          <w:i/>
          <w:kern w:val="24"/>
          <w:shd w:val="clear" w:color="auto" w:fill="FFFFFF"/>
        </w:rPr>
        <w:t>vs</w:t>
      </w:r>
      <w:r w:rsidRPr="00EE2DE7">
        <w:rPr>
          <w:rFonts w:eastAsia="Calibri"/>
          <w:bCs/>
          <w:kern w:val="24"/>
          <w:shd w:val="clear" w:color="auto" w:fill="FFFFFF"/>
        </w:rPr>
        <w:t xml:space="preserve"> juridiksionit </w:t>
      </w:r>
      <w:r w:rsidRPr="00EE2DE7">
        <w:rPr>
          <w:rFonts w:eastAsia="Calibri"/>
          <w:bCs/>
          <w:kern w:val="24"/>
        </w:rPr>
        <w:t>gjyqësor administrativ. Etika dhe komunikimi në seancat gjyqësore dhe sjellja me palët. Kontrabanda. Zgjidhja administrative e kontrabandës. Kuptimi dhe zbatimi i drejtë i nenit 3 të KEDNJ-s</w:t>
      </w:r>
      <w:r w:rsidRPr="00EE2DE7">
        <w:rPr>
          <w:rFonts w:eastAsia="Times New Roman"/>
          <w:kern w:val="24"/>
          <w:lang w:eastAsia="en-GB"/>
        </w:rPr>
        <w:t>ë</w:t>
      </w:r>
      <w:r w:rsidRPr="00EE2DE7">
        <w:rPr>
          <w:rFonts w:eastAsia="Calibri"/>
          <w:bCs/>
          <w:kern w:val="24"/>
        </w:rPr>
        <w:t xml:space="preserve"> dhe legjislacionit të brendshëm në këtë fushë. Prezantimi i modelit kroat i Zyrës së Prokurorisë për shtypjen e korrupsionit dhe krimin e organizuar, kontrolli i sigurisë për gjyqtarët dhe prokurorët. Mbrojtja e të dhënave personale, me fokus të veçantë mbrojtjen e të dhënave sensitive që publikohen në vendimet gjyqësore. Pozita e viktimës në procesin penal. Ndihma juridike. Nënshkrimi elektronik. Institute të së drejtës procedurale administrative sipas Kodit të ri të Procedurave Administrative. Teknikat e hetimit proaktiv, teknikat për hetimin e trafikut të drogës. Kuptimi kushtetues dhe ligjor i parashikimit të detyrueshmërisë për nisjen e procesit penal (regjistrimin e veprave penale) dhe shkalla e ndikimit të tij në ushtrimin e ndjekjes penale. Barra e provës në çështjet e konkurrencës, procedurat para gjykatës. Gjyqësori dhe media. Falimenti. Mbrojtja e viktimave, në fokusin e padisë civile në procesin penal. Vlerësimi profesional dhe etik i gjyqtarëve (të dhëna bazë mbi procedurën dhe kriteret, si dhe përqasja me standardet dhe praktikat e mira europiane). Roli i Avokatit të Shtetit në procesin gjyqësor, ndarja e kompetencave midis Avokaturës së Shtetit dhe institucioneve publike. E drejta e azilit. Procedimi disiplinor i gjyqtarëve (të dhënat bazë mbi procedurën dhe kriteret, si dhe përqasja me standardet dhe praktikat e mira europiane, nisur edhe nga ndryshimet e fundit t</w:t>
      </w:r>
      <w:r w:rsidRPr="00EE2DE7">
        <w:rPr>
          <w:rFonts w:eastAsia="Times New Roman"/>
          <w:kern w:val="24"/>
          <w:lang w:eastAsia="en-GB"/>
        </w:rPr>
        <w:t>ë</w:t>
      </w:r>
      <w:r w:rsidRPr="00EE2DE7">
        <w:rPr>
          <w:rFonts w:eastAsia="Calibri"/>
          <w:bCs/>
          <w:kern w:val="24"/>
        </w:rPr>
        <w:t xml:space="preserve"> legjislacionit). Trajnime mbi </w:t>
      </w:r>
      <w:r w:rsidRPr="00EE2DE7">
        <w:rPr>
          <w:rFonts w:eastAsia="Calibri"/>
          <w:bCs/>
          <w:i/>
          <w:kern w:val="24"/>
        </w:rPr>
        <w:t>acquis communautaire</w:t>
      </w:r>
      <w:r w:rsidRPr="00EE2DE7">
        <w:rPr>
          <w:rFonts w:eastAsia="Calibri"/>
          <w:bCs/>
          <w:kern w:val="24"/>
        </w:rPr>
        <w:t xml:space="preserve"> për pjesë të reja të legjislacionit shqiptar që kanë përqasur </w:t>
      </w:r>
      <w:r w:rsidRPr="00EE2DE7">
        <w:rPr>
          <w:rFonts w:eastAsia="Calibri"/>
          <w:bCs/>
          <w:i/>
          <w:kern w:val="24"/>
        </w:rPr>
        <w:t>Acquis Communautaire</w:t>
      </w:r>
      <w:r w:rsidRPr="00EE2DE7">
        <w:rPr>
          <w:rFonts w:eastAsia="Calibri"/>
          <w:bCs/>
          <w:kern w:val="24"/>
        </w:rPr>
        <w:t>. Rregullimi ligjor i marrëdhënieve të punës dhe problemet që ndeshen në praktikën gjyqësore. Zbatueshmëria e parimit kushtetues të së drejtës për të mos u gjykuar dy herë (</w:t>
      </w:r>
      <w:r w:rsidRPr="00EE2DE7">
        <w:rPr>
          <w:rFonts w:eastAsia="Calibri"/>
          <w:bCs/>
          <w:i/>
          <w:kern w:val="24"/>
        </w:rPr>
        <w:t>ne bis in idem</w:t>
      </w:r>
      <w:r w:rsidRPr="00EE2DE7">
        <w:rPr>
          <w:rFonts w:eastAsia="Calibri"/>
          <w:bCs/>
          <w:kern w:val="24"/>
        </w:rPr>
        <w:t>) në këndvështrimin e KEDNJ-s</w:t>
      </w:r>
      <w:r w:rsidRPr="00EE2DE7">
        <w:rPr>
          <w:rFonts w:eastAsia="Times New Roman"/>
          <w:kern w:val="24"/>
          <w:lang w:eastAsia="en-GB"/>
        </w:rPr>
        <w:t>ë</w:t>
      </w:r>
      <w:r w:rsidRPr="00EE2DE7">
        <w:rPr>
          <w:rFonts w:eastAsia="Calibri"/>
          <w:bCs/>
          <w:kern w:val="24"/>
        </w:rPr>
        <w:t xml:space="preserve"> (neni 4 i Protokollit nr.7). Veprat penale që prekin zgjedhjet e lira dhe sistemin demokratik të zgjedhjeve. Vendi dhe roli i jurisprudencës së GJEDNJ-së në Strasburg dhe Gjykatës Europiane t</w:t>
      </w:r>
      <w:r w:rsidRPr="00EE2DE7">
        <w:rPr>
          <w:rFonts w:eastAsia="Times New Roman"/>
          <w:kern w:val="24"/>
          <w:lang w:eastAsia="en-GB"/>
        </w:rPr>
        <w:t>ë</w:t>
      </w:r>
      <w:r w:rsidRPr="00EE2DE7">
        <w:rPr>
          <w:rFonts w:eastAsia="Calibri"/>
          <w:bCs/>
          <w:kern w:val="24"/>
        </w:rPr>
        <w:t xml:space="preserve"> Drejtësisë n</w:t>
      </w:r>
      <w:r w:rsidRPr="00EE2DE7">
        <w:rPr>
          <w:rFonts w:eastAsia="Times New Roman"/>
          <w:kern w:val="24"/>
          <w:lang w:eastAsia="en-GB"/>
        </w:rPr>
        <w:t>ë</w:t>
      </w:r>
      <w:r w:rsidRPr="00EE2DE7">
        <w:rPr>
          <w:rFonts w:eastAsia="Calibri"/>
          <w:bCs/>
          <w:kern w:val="24"/>
        </w:rPr>
        <w:t xml:space="preserve"> Luksemburg n</w:t>
      </w:r>
      <w:r w:rsidRPr="00EE2DE7">
        <w:rPr>
          <w:rFonts w:eastAsia="Times New Roman"/>
          <w:kern w:val="24"/>
          <w:lang w:eastAsia="en-GB"/>
        </w:rPr>
        <w:t>ë</w:t>
      </w:r>
      <w:r w:rsidRPr="00EE2DE7">
        <w:rPr>
          <w:rFonts w:eastAsia="Calibri"/>
          <w:bCs/>
          <w:kern w:val="24"/>
        </w:rPr>
        <w:t xml:space="preserve"> zhvillimin e sistemit ligjor n</w:t>
      </w:r>
      <w:r w:rsidRPr="00EE2DE7">
        <w:rPr>
          <w:rFonts w:eastAsia="Times New Roman"/>
          <w:kern w:val="24"/>
          <w:lang w:eastAsia="en-GB"/>
        </w:rPr>
        <w:t>ë</w:t>
      </w:r>
      <w:r w:rsidRPr="00EE2DE7">
        <w:rPr>
          <w:rFonts w:eastAsia="Calibri"/>
          <w:bCs/>
          <w:kern w:val="24"/>
        </w:rPr>
        <w:t xml:space="preserve"> Shqipëri. Rëndësia e interpretimit nëpërmjet jurisprudencës në drejtim të garantimit të sigurisë juridike, si element i procesit të rregullt ligjor në kuptim të nenit 6 të KEDNJ-së dhe nenit 42 të Kushtetutës. Gjobat në çështjet e mos-konkurrencës, shqyrtimi gjyqësor i gjobave.</w:t>
      </w:r>
    </w:p>
    <w:p w:rsidR="009D4032" w:rsidRPr="00EE2DE7" w:rsidRDefault="009D4032" w:rsidP="009D4032">
      <w:pPr>
        <w:spacing w:line="276" w:lineRule="auto"/>
        <w:ind w:firstLine="720"/>
        <w:jc w:val="both"/>
        <w:rPr>
          <w:rFonts w:eastAsia="Calibri"/>
          <w:kern w:val="24"/>
        </w:rPr>
      </w:pPr>
      <w:r w:rsidRPr="00EE2DE7">
        <w:rPr>
          <w:rFonts w:eastAsia="Calibri"/>
          <w:kern w:val="24"/>
        </w:rPr>
        <w:t>Programi i Formimit Vazhdues dhe kalendari i aktiviteteve trajnuese për vitin akademik 2017-2018,  ka pasur si karakteristikë dinamizmin dhe fleksibilitetin: a) p</w:t>
      </w:r>
      <w:r w:rsidRPr="00EE2DE7">
        <w:rPr>
          <w:rFonts w:eastAsia="Times New Roman"/>
          <w:kern w:val="24"/>
          <w:lang w:eastAsia="en-GB"/>
        </w:rPr>
        <w:t>ërditësimin</w:t>
      </w:r>
      <w:r w:rsidRPr="00EE2DE7">
        <w:rPr>
          <w:rFonts w:eastAsia="Calibri"/>
          <w:kern w:val="24"/>
        </w:rPr>
        <w:t xml:space="preserve"> rast pas rasti sipas interesave të audiencës së gjyqtarëve/prokurorëve; b) ndjekjen e së njëjtës linjë me zhvillimin e proceseve të reformës ligjore dhe të sistemit të drejtësisë për shkak të proceseve integruese; c) vlerësimin dhe pasqyrimin më pas të çdo sugjerimi të ardhur në mënyrë të vazhdueshme në Shkollë. </w:t>
      </w:r>
    </w:p>
    <w:p w:rsidR="009D4032" w:rsidRPr="00EE2DE7" w:rsidRDefault="009D4032" w:rsidP="009D4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MS Mincho"/>
          <w:kern w:val="24"/>
        </w:rPr>
      </w:pPr>
      <w:r w:rsidRPr="00EE2DE7">
        <w:rPr>
          <w:rFonts w:eastAsia="Times New Roman"/>
          <w:kern w:val="24"/>
        </w:rPr>
        <w:tab/>
        <w:t xml:space="preserve">Duke ndjekur këtë traditë, </w:t>
      </w:r>
      <w:r w:rsidRPr="00EE2DE7">
        <w:rPr>
          <w:rFonts w:eastAsia="MS Mincho"/>
          <w:kern w:val="24"/>
        </w:rPr>
        <w:t>Shkolla e Magjistraturës në mënyrë konsekuente ka vlerësuar qasjen e Programit të Formimit Vazhdues me nevojat në dinamikë të prokurorëve/gjyqtarëve në detyrë dhe jo vetëm, me qëllimin e vetëm, formulimin e një programi sa më ef</w:t>
      </w:r>
      <w:r>
        <w:rPr>
          <w:rFonts w:eastAsia="MS Mincho"/>
          <w:kern w:val="24"/>
        </w:rPr>
        <w:t>i</w:t>
      </w:r>
      <w:r w:rsidRPr="00EE2DE7">
        <w:rPr>
          <w:rFonts w:eastAsia="MS Mincho"/>
          <w:kern w:val="24"/>
        </w:rPr>
        <w:t xml:space="preserve">cient dhe sa më pranë nevojave të gjyqtarë/prokurorëve si edhe aktorëve të tjerë të sistemit të drejtësisë. Vëmendja për mundësi përditësimi me tematika të reja nuk resht edhe pse, Programi i Formimit Vazhdues miratohet çdo trevjeçar, duke u pasuruar vazhdimisht gjatë viteve akademike nëpërmjet sugjerimeve të auditorit, vetë ekspertëve apo lehtësuesve, partnerëve tanë, nevojave rast pas rasti të tematikave sipas zhvillimeve të legjislacionit vendas apo të trajtimeve të praktikave më të mira ndërkombëtare. Por, në pjesën më të madhe të rasteve, kjo ka ardhur si pasojë e kërkesave të partnerëve tanë ndërkombëtarë për organizimin e aktiviteteve trajnuese të përbashkëta. Shkolla, ka qëndruar gjithnjë vigjilente ndaj çdo kërkese të ardhur nga gjyqtarët, </w:t>
      </w:r>
      <w:r w:rsidRPr="00EE2DE7">
        <w:rPr>
          <w:rFonts w:eastAsia="MS Mincho"/>
          <w:kern w:val="24"/>
        </w:rPr>
        <w:lastRenderedPageBreak/>
        <w:t>prokurorët, avokatët, juristët etj., të cilët mendojnë se kanë ekspertizë personale në një nga fushat dhe temat e Programit të Formimit Vazhdues, apo mendojnë se ndonjë prej kolegëve të tyre ka eksperiencë të spikatur për një temë të caktuar. Në zbatim të legjislacionit në fuqi si edhe Rregullores së Brendshme të Shkollës së Magjistraturës, çdo i interesuar për të qenë pjesë e panelit të aktiviteteve trajnuese në TV, aplikon</w:t>
      </w:r>
      <w:r w:rsidRPr="00EE2DE7">
        <w:rPr>
          <w:rFonts w:eastAsia="MS Mincho"/>
          <w:kern w:val="24"/>
          <w:vertAlign w:val="superscript"/>
        </w:rPr>
        <w:footnoteReference w:id="4"/>
      </w:r>
      <w:r w:rsidRPr="00EE2DE7">
        <w:rPr>
          <w:rFonts w:eastAsia="MS Mincho"/>
          <w:kern w:val="24"/>
        </w:rPr>
        <w:t xml:space="preserve"> për ekspert apo lehtësues pranë Shkollës, aplikime të cilat vlerësohen nga Këshilli Drejtues, me qëllim dhënien e mundësisë gjithkujt që shpreh interes të përcjellë eksperiencën personale dhe profesionale, qoftë në rolin e ekspertit apo lehtësuesit.</w:t>
      </w:r>
    </w:p>
    <w:p w:rsidR="009D4032" w:rsidRPr="00EE2DE7" w:rsidRDefault="009D4032" w:rsidP="009D40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MS Mincho"/>
          <w:kern w:val="24"/>
        </w:rPr>
      </w:pPr>
      <w:r w:rsidRPr="00EE2DE7">
        <w:rPr>
          <w:rFonts w:eastAsia="MS Mincho"/>
          <w:kern w:val="24"/>
        </w:rPr>
        <w:tab/>
        <w:t xml:space="preserve">Shkolla e Magjistraturës, ka treguar kujdes të veçantë në marrjen e mendimit të çdo aktori </w:t>
      </w:r>
      <w:r w:rsidRPr="00EE2DE7">
        <w:rPr>
          <w:rFonts w:eastAsia="Times New Roman"/>
          <w:kern w:val="24"/>
        </w:rPr>
        <w:t xml:space="preserve">të sistemit të drejtësisë dhe respektimin me rigorozitet të të gjitha kërkesave dhe detyrimeve ligjore të vlerësimit të nevojave, duke </w:t>
      </w:r>
      <w:r w:rsidRPr="00EE2DE7">
        <w:rPr>
          <w:rFonts w:eastAsia="MS Mincho"/>
          <w:kern w:val="24"/>
        </w:rPr>
        <w:t>përfshirë në programin tematik të saj, tema lidhur me detyrimet që burojnë nga proceset e integrimit, reformës ligjore në sistemin e drejtësisë, jurisprudencën e GJEDNJ-s</w:t>
      </w:r>
      <w:r w:rsidRPr="00EE2DE7">
        <w:rPr>
          <w:rFonts w:eastAsia="Times New Roman"/>
          <w:kern w:val="24"/>
          <w:lang w:eastAsia="en-GB"/>
        </w:rPr>
        <w:t xml:space="preserve">ë </w:t>
      </w:r>
      <w:r w:rsidRPr="00EE2DE7">
        <w:rPr>
          <w:rFonts w:eastAsia="MS Mincho"/>
          <w:kern w:val="24"/>
        </w:rPr>
        <w:t>etj</w:t>
      </w:r>
      <w:r w:rsidRPr="00EE2DE7">
        <w:rPr>
          <w:rFonts w:eastAsia="Times New Roman"/>
          <w:kern w:val="24"/>
        </w:rPr>
        <w:t xml:space="preserve">. </w:t>
      </w:r>
    </w:p>
    <w:p w:rsidR="009D4032" w:rsidRDefault="009D4032" w:rsidP="00E414E3">
      <w:pPr>
        <w:pStyle w:val="My"/>
        <w:spacing w:line="276" w:lineRule="auto"/>
        <w:jc w:val="both"/>
        <w:rPr>
          <w:rFonts w:ascii="Times New Roman" w:hAnsi="Times New Roman" w:cs="Times New Roman"/>
          <w:lang w:val="en-US"/>
        </w:rPr>
      </w:pPr>
    </w:p>
    <w:p w:rsidR="00022A5D" w:rsidRDefault="00022A5D" w:rsidP="00022A5D">
      <w:pPr>
        <w:spacing w:line="276" w:lineRule="auto"/>
        <w:jc w:val="both"/>
        <w:outlineLvl w:val="0"/>
        <w:rPr>
          <w:rFonts w:eastAsia="Calibri"/>
          <w:b/>
          <w:color w:val="1F497D"/>
          <w:kern w:val="24"/>
        </w:rPr>
      </w:pPr>
      <w:r w:rsidRPr="00EE2DE7">
        <w:rPr>
          <w:rFonts w:eastAsia="Calibri"/>
          <w:b/>
          <w:color w:val="1F497D"/>
          <w:kern w:val="24"/>
        </w:rPr>
        <w:t xml:space="preserve">Sfidat e vazhdueshme </w:t>
      </w:r>
    </w:p>
    <w:p w:rsidR="00E414E3" w:rsidRPr="00EE2DE7" w:rsidRDefault="00E414E3" w:rsidP="00022A5D">
      <w:pPr>
        <w:spacing w:line="276" w:lineRule="auto"/>
        <w:jc w:val="both"/>
        <w:outlineLvl w:val="0"/>
        <w:rPr>
          <w:rFonts w:eastAsia="Calibri"/>
          <w:color w:val="1F497D"/>
          <w:kern w:val="24"/>
        </w:rPr>
      </w:pPr>
    </w:p>
    <w:p w:rsidR="00022A5D" w:rsidRPr="00EE2DE7" w:rsidRDefault="00022A5D" w:rsidP="00022A5D">
      <w:pPr>
        <w:spacing w:line="276" w:lineRule="auto"/>
        <w:ind w:firstLine="720"/>
        <w:jc w:val="both"/>
        <w:rPr>
          <w:rFonts w:eastAsia="Calibri"/>
          <w:kern w:val="24"/>
        </w:rPr>
      </w:pPr>
      <w:r w:rsidRPr="00EE2DE7">
        <w:rPr>
          <w:rFonts w:eastAsia="Calibri"/>
          <w:kern w:val="24"/>
        </w:rPr>
        <w:t xml:space="preserve">Kujdesi i Shkollës së Magjistraturës, që gjyqtarët dhe prokurorët në detyrë, por jo vetëm, të kenë mundësinë të ndjekin një program trajnues sa më pranë kërkesave dhe interesave të tyre, nuk ka ndryshuar. Ashtu sikurse Shkolla, nuk ka hezituar të ofrojë një program perspektiv në përputhje me standardet e brendshme dhe ato ndërkombëtare, duke iu përgjigjur proceseve të reformës ligjore në sistemin e drejtësisë, si edhe çështjeve të përqasjes dhe harmonizimit me standardet ndërkombëtare. Kjo është realizuar përmes nxitjes së temave të reja apo të temave që kanë një gjendje “të fshehur” për nga rëndësia, por që në fakt efektojnë drejtpërdrejtë në aksesin në drejtësi dhe në standardet e procesit të rregullt ligjor e gjyqësor. </w:t>
      </w:r>
    </w:p>
    <w:p w:rsidR="009D4032" w:rsidRDefault="00022A5D" w:rsidP="00E414E3">
      <w:pPr>
        <w:spacing w:line="276" w:lineRule="auto"/>
        <w:ind w:firstLine="720"/>
        <w:jc w:val="both"/>
        <w:rPr>
          <w:rFonts w:eastAsia="Calibri"/>
          <w:kern w:val="24"/>
        </w:rPr>
      </w:pPr>
      <w:r w:rsidRPr="00EE2DE7">
        <w:rPr>
          <w:rFonts w:eastAsia="Calibri"/>
          <w:kern w:val="24"/>
        </w:rPr>
        <w:t>Duke qenë se ligji ka përcaktuar afate të qarta të frekuentimit, kjo e ka vënë Shkollën e Magjistraturës përpara sfidës së plotësimit të këtij detyrimi në mënyrë cilësore.</w:t>
      </w:r>
    </w:p>
    <w:p w:rsidR="00E414E3" w:rsidRDefault="00E414E3" w:rsidP="00E414E3">
      <w:pPr>
        <w:spacing w:line="276" w:lineRule="auto"/>
        <w:jc w:val="both"/>
        <w:rPr>
          <w:b/>
          <w:color w:val="CC9966" w:themeColor="accent2"/>
        </w:rPr>
      </w:pPr>
      <w:r w:rsidRPr="00E414E3">
        <w:rPr>
          <w:b/>
          <w:color w:val="CC9966" w:themeColor="accent2"/>
        </w:rPr>
        <w:t>Financimi:</w:t>
      </w:r>
    </w:p>
    <w:p w:rsidR="003754E1" w:rsidRPr="00E414E3" w:rsidRDefault="003754E1" w:rsidP="00E414E3">
      <w:pPr>
        <w:spacing w:line="276" w:lineRule="auto"/>
        <w:jc w:val="both"/>
        <w:rPr>
          <w:b/>
          <w:color w:val="CC9966" w:themeColor="accent2"/>
        </w:rPr>
      </w:pPr>
    </w:p>
    <w:p w:rsidR="00A41A6D" w:rsidRDefault="00E414E3" w:rsidP="00E414E3">
      <w:pPr>
        <w:pStyle w:val="My"/>
        <w:spacing w:line="276" w:lineRule="auto"/>
        <w:ind w:firstLine="360"/>
        <w:jc w:val="both"/>
        <w:rPr>
          <w:rFonts w:ascii="Times New Roman" w:hAnsi="Times New Roman" w:cs="Times New Roman"/>
          <w:lang w:val="en-US"/>
        </w:rPr>
      </w:pPr>
      <w:r>
        <w:rPr>
          <w:rFonts w:ascii="Times New Roman" w:hAnsi="Times New Roman" w:cs="Times New Roman"/>
          <w:lang w:val="en-US"/>
        </w:rPr>
        <w:t xml:space="preserve">                   </w:t>
      </w:r>
      <w:r w:rsidRPr="00E414E3">
        <w:rPr>
          <w:rFonts w:ascii="Times New Roman" w:hAnsi="Times New Roman" w:cs="Times New Roman"/>
          <w:noProof/>
          <w:color w:val="996600"/>
          <w:lang w:val="en-US" w:eastAsia="en-US"/>
        </w:rPr>
        <w:drawing>
          <wp:inline distT="0" distB="0" distL="0" distR="0">
            <wp:extent cx="4032250" cy="1988820"/>
            <wp:effectExtent l="19050" t="0" r="2540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92D9B" w:rsidRDefault="00392D9B" w:rsidP="00392D9B">
      <w:pPr>
        <w:spacing w:line="276" w:lineRule="auto"/>
        <w:jc w:val="center"/>
        <w:rPr>
          <w:rFonts w:eastAsia="Calibri"/>
          <w:i/>
          <w:kern w:val="24"/>
          <w:sz w:val="20"/>
        </w:rPr>
      </w:pPr>
      <w:r w:rsidRPr="00392D9B">
        <w:rPr>
          <w:rFonts w:eastAsia="Calibri"/>
          <w:i/>
          <w:kern w:val="24"/>
          <w:sz w:val="20"/>
        </w:rPr>
        <w:t>Grafiku nr. 1 Fluksi i aktiviteteve për vitin akademik  2017-2018  parë nga këndvështrimi i mbështetjes financiare.</w:t>
      </w:r>
    </w:p>
    <w:p w:rsidR="00392D9B" w:rsidRPr="00392D9B" w:rsidRDefault="00CF3AE0" w:rsidP="00392D9B">
      <w:pPr>
        <w:spacing w:line="276" w:lineRule="auto"/>
        <w:jc w:val="center"/>
        <w:rPr>
          <w:rFonts w:eastAsia="Calibri"/>
          <w:i/>
          <w:kern w:val="24"/>
          <w:sz w:val="20"/>
        </w:rPr>
      </w:pPr>
      <w:r>
        <w:rPr>
          <w:noProof/>
          <w:lang w:eastAsia="en-US"/>
        </w:rPr>
        <w:lastRenderedPageBreak/>
        <w:pict>
          <v:rect id="Rectangle 202" o:spid="_x0000_s1032" style="position:absolute;left:0;text-align:left;margin-left:294.6pt;margin-top:11.1pt;width:233.35pt;height:420.6pt;z-index:251696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" fillcolor="#4f81bd" stroked="f" strokeweight="2pt">
            <v:fill opacity="12336f"/>
            <v:textbox inset="21.6pt,21.6pt,21.6pt,21.6pt">
              <w:txbxContent>
                <w:p w:rsidR="005372E3" w:rsidRPr="006F39AB" w:rsidRDefault="005372E3" w:rsidP="006F39AB">
                  <w:pPr>
                    <w:spacing w:line="276" w:lineRule="auto"/>
                    <w:jc w:val="both"/>
                    <w:rPr>
                      <w:b/>
                      <w:color w:val="CC9966" w:themeColor="accent2"/>
                    </w:rPr>
                  </w:pPr>
                  <w:r w:rsidRPr="006F39AB">
                    <w:rPr>
                      <w:b/>
                      <w:color w:val="CC9966" w:themeColor="accent2"/>
                    </w:rPr>
                    <w:t>Objektivat e Programit të Formimit Vazhdues</w:t>
                  </w:r>
                </w:p>
                <w:p w:rsidR="005372E3" w:rsidRPr="00EE2DE7" w:rsidRDefault="005372E3" w:rsidP="006F39AB">
                  <w:pPr>
                    <w:spacing w:line="276" w:lineRule="auto"/>
                    <w:ind w:firstLine="720"/>
                    <w:jc w:val="both"/>
                    <w:rPr>
                      <w:rFonts w:eastAsia="Calibri"/>
                      <w:kern w:val="24"/>
                    </w:rPr>
                  </w:pPr>
                  <w:r w:rsidRPr="00EE2DE7">
                    <w:rPr>
                      <w:rFonts w:eastAsia="Calibri"/>
                      <w:kern w:val="24"/>
                    </w:rPr>
                    <w:t>Objektivat e PFV-s</w:t>
                  </w:r>
                  <w:r w:rsidRPr="00EE2DE7">
                    <w:rPr>
                      <w:rFonts w:eastAsia="Times New Roman"/>
                      <w:kern w:val="24"/>
                      <w:lang w:eastAsia="en-GB"/>
                    </w:rPr>
                    <w:t>ë</w:t>
                  </w:r>
                  <w:r w:rsidRPr="00EE2DE7">
                    <w:rPr>
                      <w:rFonts w:eastAsia="Calibri"/>
                      <w:kern w:val="24"/>
                    </w:rPr>
                    <w:t xml:space="preserve"> duken si të pandryshueshme në thelbin e tyre. Objektivi kryesor është rritja e profesionalizmit të gjyqtarëve dhe prokurorëve në detyrë, pranë gjykatave dhe prokurorive të rretheve gjyqësore dhe gjykatave e prokurorive të apelit, njëkohësisht, me ndryshimet e reja ligjore, edhe e: a) gjyqtarëve të Gjykatës së Lartë dhe prokurorëve të Prokurorisë së Përgjithshme dhe të SPAK-ut; b) avokatëve të shtetit në detyrë; c) këshilltarëve dhe ndihmësve ligjorë në detyrë në gjykata dhe prokurori; d) kancelarëve në detyrë në gjykata dhe prokurori; si edhe e) gjyqtarëve dhe prokurorëve që nuk kalojnë procesin e </w:t>
                  </w:r>
                  <w:r w:rsidRPr="00EE2DE7">
                    <w:rPr>
                      <w:rFonts w:eastAsia="Calibri"/>
                      <w:i/>
                      <w:kern w:val="24"/>
                    </w:rPr>
                    <w:t>vetingut</w:t>
                  </w:r>
                  <w:r w:rsidRPr="00EE2DE7">
                    <w:rPr>
                      <w:rFonts w:eastAsia="Calibri"/>
                      <w:kern w:val="24"/>
                    </w:rPr>
                    <w:t xml:space="preserve">, faktor ky që ndikon në mënyrë të drejtpërdrejtë në rritjen e aksesit te drejtësia, si dhe në pavarësinë e paanësinë e sistemit të drejtësisë. </w:t>
                  </w:r>
                </w:p>
                <w:p w:rsidR="005372E3" w:rsidRDefault="005372E3" w:rsidP="009D3274">
                  <w:pPr>
                    <w:jc w:val="both"/>
                    <w:rPr>
                      <w:rFonts w:ascii="Arial" w:hAnsi="Arial" w:cs="Arial"/>
                    </w:rPr>
                  </w:pPr>
                </w:p>
                <w:p w:rsidR="005372E3" w:rsidRPr="009D3274" w:rsidRDefault="005372E3" w:rsidP="009D3274">
                  <w:pPr>
                    <w:jc w:val="both"/>
                    <w:rPr>
                      <w:rFonts w:ascii="Arial" w:hAnsi="Arial" w:cs="Arial"/>
                    </w:rPr>
                  </w:pPr>
                  <w:r w:rsidRPr="009D3274">
                    <w:rPr>
                      <w:rFonts w:ascii="Arial" w:hAnsi="Arial" w:cs="Arial"/>
                    </w:rPr>
                    <w:t>LoremIpsum is simply dummy text of the printing and typesetting industry. LoremIpsum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LoremIpsum passages, and more recently with desktop publishing software like Aldus PageMaker including versions of LoremIpsum.</w:t>
                  </w:r>
                </w:p>
              </w:txbxContent>
            </v:textbox>
            <w10:wrap type="square"/>
          </v:rect>
        </w:pict>
      </w:r>
    </w:p>
    <w:p w:rsidR="00392D9B" w:rsidRPr="00EE2DE7" w:rsidRDefault="00392D9B" w:rsidP="00392D9B">
      <w:pPr>
        <w:spacing w:line="276" w:lineRule="auto"/>
        <w:jc w:val="both"/>
        <w:outlineLvl w:val="0"/>
        <w:rPr>
          <w:rFonts w:eastAsia="Calibri"/>
          <w:kern w:val="24"/>
        </w:rPr>
      </w:pPr>
      <w:r w:rsidRPr="00EE2DE7">
        <w:rPr>
          <w:rFonts w:eastAsia="Calibri"/>
          <w:kern w:val="24"/>
        </w:rPr>
        <w:t>Grafiku nr. 1 paraqet fluksin e aktiviteteve trajnuese për vitin akademik 2017-2018 nisur nga mbështetja e tyre përmes buxhetit të shtetit ose partnerëve ndërkombëtarë. Vihet re se për k</w:t>
      </w:r>
      <w:r w:rsidRPr="00EE2DE7">
        <w:rPr>
          <w:rFonts w:eastAsia="Times New Roman"/>
          <w:kern w:val="24"/>
          <w:lang w:eastAsia="en-GB"/>
        </w:rPr>
        <w:t>ëtë vit</w:t>
      </w:r>
      <w:r w:rsidRPr="00EE2DE7">
        <w:rPr>
          <w:rFonts w:eastAsia="Calibri"/>
          <w:kern w:val="24"/>
        </w:rPr>
        <w:t xml:space="preserve"> akademik, numri i aktiviteteve n</w:t>
      </w:r>
      <w:r w:rsidRPr="00EE2DE7">
        <w:rPr>
          <w:rFonts w:eastAsia="Times New Roman"/>
          <w:kern w:val="24"/>
          <w:lang w:eastAsia="en-GB"/>
        </w:rPr>
        <w:t>ë total</w:t>
      </w:r>
      <w:r w:rsidRPr="00EE2DE7">
        <w:rPr>
          <w:rFonts w:eastAsia="Calibri"/>
          <w:kern w:val="24"/>
        </w:rPr>
        <w:t xml:space="preserve"> është 213 (dyqind e tremb</w:t>
      </w:r>
      <w:r w:rsidRPr="00EE2DE7">
        <w:rPr>
          <w:rFonts w:eastAsia="MS Mincho"/>
          <w:kern w:val="24"/>
        </w:rPr>
        <w:t>ë</w:t>
      </w:r>
      <w:r w:rsidRPr="00EE2DE7">
        <w:rPr>
          <w:rFonts w:eastAsia="Calibri"/>
          <w:kern w:val="24"/>
        </w:rPr>
        <w:t>dhjet</w:t>
      </w:r>
      <w:r w:rsidRPr="00EE2DE7">
        <w:rPr>
          <w:rFonts w:eastAsia="MS Mincho"/>
          <w:kern w:val="24"/>
        </w:rPr>
        <w:t>ë</w:t>
      </w:r>
      <w:r w:rsidRPr="00EE2DE7">
        <w:rPr>
          <w:rFonts w:eastAsia="Calibri"/>
          <w:kern w:val="24"/>
        </w:rPr>
        <w:t>), nga të cilat 90 (n</w:t>
      </w:r>
      <w:r w:rsidRPr="00EE2DE7">
        <w:rPr>
          <w:rFonts w:eastAsia="MS Mincho"/>
          <w:kern w:val="24"/>
        </w:rPr>
        <w:t>ë</w:t>
      </w:r>
      <w:r w:rsidRPr="00EE2DE7">
        <w:rPr>
          <w:rFonts w:eastAsia="Calibri"/>
          <w:kern w:val="24"/>
        </w:rPr>
        <w:t>nt</w:t>
      </w:r>
      <w:r w:rsidRPr="00EE2DE7">
        <w:rPr>
          <w:rFonts w:eastAsia="MS Mincho"/>
          <w:kern w:val="24"/>
        </w:rPr>
        <w:t>ë</w:t>
      </w:r>
      <w:r w:rsidRPr="00EE2DE7">
        <w:rPr>
          <w:rFonts w:eastAsia="Calibri"/>
          <w:kern w:val="24"/>
        </w:rPr>
        <w:t>dhjet</w:t>
      </w:r>
      <w:r w:rsidRPr="00EE2DE7">
        <w:rPr>
          <w:rFonts w:eastAsia="MS Mincho"/>
          <w:kern w:val="24"/>
        </w:rPr>
        <w:t>ë</w:t>
      </w:r>
      <w:r w:rsidRPr="00EE2DE7">
        <w:rPr>
          <w:rFonts w:eastAsia="Calibri"/>
          <w:kern w:val="24"/>
        </w:rPr>
        <w:t>) u mbuluan nga donatorët dhe 123 (nj</w:t>
      </w:r>
      <w:r w:rsidRPr="00EE2DE7">
        <w:rPr>
          <w:rFonts w:eastAsia="MS Mincho"/>
          <w:kern w:val="24"/>
        </w:rPr>
        <w:t>ë</w:t>
      </w:r>
      <w:r w:rsidRPr="00EE2DE7">
        <w:rPr>
          <w:rFonts w:eastAsia="Calibri"/>
          <w:kern w:val="24"/>
        </w:rPr>
        <w:t>qind e nj</w:t>
      </w:r>
      <w:r w:rsidRPr="00EE2DE7">
        <w:rPr>
          <w:rFonts w:eastAsia="MS Mincho"/>
          <w:kern w:val="24"/>
        </w:rPr>
        <w:t>ë</w:t>
      </w:r>
      <w:r w:rsidRPr="00EE2DE7">
        <w:rPr>
          <w:rFonts w:eastAsia="Calibri"/>
          <w:kern w:val="24"/>
        </w:rPr>
        <w:t>zet e tre) nga vet</w:t>
      </w:r>
      <w:r w:rsidRPr="00EE2DE7">
        <w:rPr>
          <w:rFonts w:eastAsia="Times New Roman"/>
          <w:kern w:val="24"/>
          <w:lang w:eastAsia="en-GB"/>
        </w:rPr>
        <w:t>ë</w:t>
      </w:r>
      <w:r w:rsidRPr="00EE2DE7">
        <w:rPr>
          <w:rFonts w:eastAsia="Calibri"/>
          <w:kern w:val="24"/>
        </w:rPr>
        <w:t xml:space="preserve"> buxheti i Shkollës së Magjistraturës. Krahasuar me një vit më parë (2016-2017) vihet re se është rritur numri i aktiviteteve të mbështetura nga donatorët, i cili ka qenë 67 (gjasht</w:t>
      </w:r>
      <w:r w:rsidRPr="00EE2DE7">
        <w:rPr>
          <w:rFonts w:eastAsia="MS Mincho"/>
          <w:kern w:val="24"/>
        </w:rPr>
        <w:t>ë</w:t>
      </w:r>
      <w:r w:rsidRPr="00EE2DE7">
        <w:rPr>
          <w:rFonts w:eastAsia="Calibri"/>
          <w:kern w:val="24"/>
        </w:rPr>
        <w:t>dhjet</w:t>
      </w:r>
      <w:r w:rsidRPr="00EE2DE7">
        <w:rPr>
          <w:rFonts w:eastAsia="MS Mincho"/>
          <w:kern w:val="24"/>
        </w:rPr>
        <w:t>ë</w:t>
      </w:r>
      <w:r w:rsidRPr="00EE2DE7">
        <w:rPr>
          <w:rFonts w:eastAsia="Calibri"/>
          <w:kern w:val="24"/>
        </w:rPr>
        <w:t xml:space="preserve"> e shtat</w:t>
      </w:r>
      <w:r w:rsidRPr="00EE2DE7">
        <w:rPr>
          <w:rFonts w:eastAsia="MS Mincho"/>
          <w:kern w:val="24"/>
        </w:rPr>
        <w:t>ë</w:t>
      </w:r>
      <w:r w:rsidRPr="00EE2DE7">
        <w:rPr>
          <w:rFonts w:eastAsia="Calibri"/>
          <w:kern w:val="24"/>
        </w:rPr>
        <w:t>). Megjithatë, vlen të theksohet se edhe në këto aktivitete, me qëllim plotësimin e ekspertizës, Shkolla ka caktuar ekspertë/lehtësues ose moderatorë, të cilët janë paguar nga buxheti i shtetit. Gjithashtu, duhet të theksojmë se për vitin akademik 2017-2018 ka pasur edhe ToT (trajnime trajnerësh), konkretisht janë zhvilluar në total 3 (tri) ToT. Gjithnj</w:t>
      </w:r>
      <w:r w:rsidRPr="00EE2DE7">
        <w:rPr>
          <w:rFonts w:eastAsia="Times New Roman"/>
          <w:kern w:val="24"/>
          <w:lang w:eastAsia="en-GB"/>
        </w:rPr>
        <w:t>ë e më shumë është rritur interesi</w:t>
      </w:r>
      <w:r w:rsidRPr="00EE2DE7">
        <w:rPr>
          <w:rFonts w:eastAsia="Calibri"/>
          <w:kern w:val="24"/>
        </w:rPr>
        <w:t xml:space="preserve"> i partnerëve ndërkombëtarë për t</w:t>
      </w:r>
      <w:r w:rsidRPr="00EE2DE7">
        <w:rPr>
          <w:rFonts w:eastAsia="Times New Roman"/>
          <w:kern w:val="24"/>
          <w:lang w:eastAsia="en-GB"/>
        </w:rPr>
        <w:t>ë bashkëpunuar</w:t>
      </w:r>
      <w:r w:rsidRPr="00EE2DE7">
        <w:rPr>
          <w:rFonts w:eastAsia="Calibri"/>
          <w:kern w:val="24"/>
        </w:rPr>
        <w:t xml:space="preserve"> me SHM-n</w:t>
      </w:r>
      <w:r w:rsidRPr="00EE2DE7">
        <w:rPr>
          <w:rFonts w:eastAsia="Times New Roman"/>
          <w:kern w:val="24"/>
          <w:lang w:eastAsia="en-GB"/>
        </w:rPr>
        <w:t>ë,</w:t>
      </w:r>
      <w:r w:rsidRPr="00EE2DE7">
        <w:rPr>
          <w:rFonts w:eastAsia="Calibri"/>
          <w:kern w:val="24"/>
        </w:rPr>
        <w:t xml:space="preserve"> çka tregon se p</w:t>
      </w:r>
      <w:r w:rsidRPr="00EE2DE7">
        <w:rPr>
          <w:rFonts w:eastAsia="Times New Roman"/>
          <w:kern w:val="24"/>
          <w:lang w:eastAsia="en-GB"/>
        </w:rPr>
        <w:t xml:space="preserve">ër ta, </w:t>
      </w:r>
      <w:r w:rsidRPr="00EE2DE7">
        <w:rPr>
          <w:rFonts w:eastAsia="Calibri"/>
          <w:kern w:val="24"/>
        </w:rPr>
        <w:t>Shkolla e Magjistratur</w:t>
      </w:r>
      <w:r w:rsidRPr="00EE2DE7">
        <w:rPr>
          <w:rFonts w:eastAsia="Times New Roman"/>
          <w:kern w:val="24"/>
          <w:lang w:eastAsia="en-GB"/>
        </w:rPr>
        <w:t>ës është një partner me cilësi të larta në fushën e trajnimit.</w:t>
      </w:r>
    </w:p>
    <w:p w:rsidR="00392D9B" w:rsidRDefault="00392D9B" w:rsidP="009D3274">
      <w:pPr>
        <w:spacing w:line="276" w:lineRule="auto"/>
        <w:jc w:val="both"/>
        <w:rPr>
          <w:b/>
          <w:color w:val="CC9966" w:themeColor="accent2"/>
          <w:sz w:val="32"/>
        </w:rPr>
      </w:pPr>
    </w:p>
    <w:p w:rsidR="00294F47" w:rsidRPr="00EE2DE7" w:rsidRDefault="00294F47" w:rsidP="00294F47">
      <w:pPr>
        <w:spacing w:line="276" w:lineRule="auto"/>
        <w:jc w:val="both"/>
        <w:outlineLvl w:val="0"/>
        <w:rPr>
          <w:rFonts w:eastAsia="Calibri"/>
          <w:b/>
          <w:color w:val="1F497D"/>
          <w:kern w:val="24"/>
        </w:rPr>
      </w:pPr>
      <w:r w:rsidRPr="00EE2DE7">
        <w:rPr>
          <w:rFonts w:eastAsia="Calibri"/>
          <w:b/>
          <w:color w:val="1F497D"/>
          <w:kern w:val="24"/>
        </w:rPr>
        <w:t>Objektivat strategjike të Formimit Vazhdues</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Programi i Formimit Vazhdues, me të gjithë indikatorët e cilësisë dhe të larmishmërisë nga këndvështrimi tematik, është bërë edhe më operativ përmes kalendarit të aktiviteteve trajnuese të detajuara në këtë dokument. Programi dhe kalendari i Formimit Vazhdues për vitin akademik 2017-2018 ka synuar të trajtojë një tematikë:</w:t>
      </w:r>
    </w:p>
    <w:p w:rsidR="00294F47" w:rsidRPr="00EE2DE7" w:rsidRDefault="00294F47" w:rsidP="005C2687">
      <w:pPr>
        <w:numPr>
          <w:ilvl w:val="1"/>
          <w:numId w:val="30"/>
        </w:numPr>
        <w:tabs>
          <w:tab w:val="num" w:pos="1080"/>
        </w:tabs>
        <w:spacing w:line="276" w:lineRule="auto"/>
        <w:ind w:left="1080"/>
        <w:jc w:val="both"/>
        <w:rPr>
          <w:rFonts w:eastAsia="Calibri"/>
          <w:kern w:val="24"/>
        </w:rPr>
      </w:pPr>
      <w:r w:rsidRPr="00EE2DE7">
        <w:rPr>
          <w:rFonts w:eastAsia="Calibri"/>
          <w:i/>
          <w:kern w:val="24"/>
        </w:rPr>
        <w:t>të një natyre gjithëpërfshirëse</w:t>
      </w:r>
      <w:r w:rsidRPr="00EE2DE7">
        <w:rPr>
          <w:rFonts w:eastAsia="Calibri"/>
          <w:kern w:val="24"/>
        </w:rPr>
        <w:t>, ku të gjithë gjyqtarët e prokurorët mund të kenë interes, ashtu siç është gama e çështjeve që paraqiten përpara sistemit të drejtësisë, të tilla, si: etika profesionale, barazia dhe mosdiskriminimi etj.</w:t>
      </w:r>
    </w:p>
    <w:p w:rsidR="00294F47" w:rsidRPr="00EE2DE7" w:rsidRDefault="00294F47" w:rsidP="005C2687">
      <w:pPr>
        <w:numPr>
          <w:ilvl w:val="1"/>
          <w:numId w:val="30"/>
        </w:numPr>
        <w:tabs>
          <w:tab w:val="num" w:pos="1080"/>
        </w:tabs>
        <w:spacing w:line="276" w:lineRule="auto"/>
        <w:ind w:left="1080"/>
        <w:jc w:val="both"/>
        <w:rPr>
          <w:rFonts w:eastAsia="Calibri"/>
          <w:kern w:val="24"/>
        </w:rPr>
      </w:pPr>
      <w:r w:rsidRPr="00EE2DE7">
        <w:rPr>
          <w:rFonts w:eastAsia="Calibri"/>
          <w:i/>
          <w:kern w:val="24"/>
        </w:rPr>
        <w:t>të një natyre më të specializuar,</w:t>
      </w:r>
      <w:r w:rsidRPr="00EE2DE7">
        <w:rPr>
          <w:rFonts w:eastAsia="Calibri"/>
          <w:kern w:val="24"/>
        </w:rPr>
        <w:t xml:space="preserve"> në fusha të veçanta, ashtu siç kërkohet ndërhyrja e sistemit në një rast konkret, duke respektuar parimet e unitetit dhe të diversitetit, që fokusohet më shumë tek aspektet sociale, duke i sjellë këto në vëmendje në çdo aktivitet, por kryesisht në temat me ndjeshmëri të lartë, si: dhuna në familje, interesi m</w:t>
      </w:r>
      <w:r w:rsidRPr="00EE2DE7">
        <w:rPr>
          <w:rFonts w:eastAsia="Times New Roman"/>
          <w:kern w:val="24"/>
          <w:lang w:eastAsia="en-GB"/>
        </w:rPr>
        <w:t>ë</w:t>
      </w:r>
      <w:r w:rsidRPr="00EE2DE7">
        <w:rPr>
          <w:rFonts w:eastAsia="Calibri"/>
          <w:kern w:val="24"/>
        </w:rPr>
        <w:t xml:space="preserve"> i lartë i fëmijëve, drejt</w:t>
      </w:r>
      <w:r w:rsidRPr="00EE2DE7">
        <w:rPr>
          <w:rFonts w:eastAsia="MS Mincho"/>
          <w:kern w:val="24"/>
        </w:rPr>
        <w:t>ë</w:t>
      </w:r>
      <w:r w:rsidRPr="00EE2DE7">
        <w:rPr>
          <w:rFonts w:eastAsia="Calibri"/>
          <w:kern w:val="24"/>
        </w:rPr>
        <w:t>sia penale p</w:t>
      </w:r>
      <w:r w:rsidRPr="00EE2DE7">
        <w:rPr>
          <w:rFonts w:eastAsia="MS Mincho"/>
          <w:kern w:val="24"/>
        </w:rPr>
        <w:t>ë</w:t>
      </w:r>
      <w:r w:rsidRPr="00EE2DE7">
        <w:rPr>
          <w:rFonts w:eastAsia="Calibri"/>
          <w:kern w:val="24"/>
        </w:rPr>
        <w:t>r t</w:t>
      </w:r>
      <w:r w:rsidRPr="00EE2DE7">
        <w:rPr>
          <w:rFonts w:eastAsia="MS Mincho"/>
          <w:kern w:val="24"/>
        </w:rPr>
        <w:t>ë</w:t>
      </w:r>
      <w:r w:rsidRPr="00EE2DE7">
        <w:rPr>
          <w:rFonts w:eastAsia="Calibri"/>
          <w:kern w:val="24"/>
        </w:rPr>
        <w:t xml:space="preserve"> miturit etj.</w:t>
      </w:r>
    </w:p>
    <w:p w:rsidR="00294F47" w:rsidRPr="00EE2DE7" w:rsidRDefault="00294F47" w:rsidP="00294F47">
      <w:pPr>
        <w:spacing w:line="276" w:lineRule="auto"/>
        <w:ind w:left="720"/>
        <w:jc w:val="both"/>
        <w:rPr>
          <w:rFonts w:eastAsia="Calibri"/>
          <w:kern w:val="24"/>
        </w:rPr>
      </w:pPr>
      <w:r w:rsidRPr="00EE2DE7">
        <w:rPr>
          <w:rFonts w:eastAsia="Calibri"/>
          <w:kern w:val="24"/>
        </w:rPr>
        <w:t>Aktivitete me tematik</w:t>
      </w:r>
      <w:r w:rsidRPr="00EE2DE7">
        <w:rPr>
          <w:rFonts w:eastAsia="Times New Roman"/>
          <w:kern w:val="24"/>
          <w:lang w:eastAsia="en-GB"/>
        </w:rPr>
        <w:t xml:space="preserve">ë të veçantë, </w:t>
      </w:r>
      <w:r w:rsidRPr="00EE2DE7">
        <w:rPr>
          <w:rFonts w:eastAsia="Calibri"/>
          <w:kern w:val="24"/>
        </w:rPr>
        <w:t>kushtuar kryesisht prokurorëve, gjyqtar</w:t>
      </w:r>
      <w:r w:rsidRPr="00EE2DE7">
        <w:rPr>
          <w:rFonts w:eastAsia="Times New Roman"/>
          <w:kern w:val="24"/>
          <w:lang w:eastAsia="en-GB"/>
        </w:rPr>
        <w:t xml:space="preserve">ëve, si dhe trajnime të përbashkëta, përmendim: </w:t>
      </w:r>
    </w:p>
    <w:p w:rsidR="00294F47" w:rsidRPr="00EE2DE7" w:rsidRDefault="00294F47" w:rsidP="005C2687">
      <w:pPr>
        <w:numPr>
          <w:ilvl w:val="1"/>
          <w:numId w:val="30"/>
        </w:numPr>
        <w:tabs>
          <w:tab w:val="num" w:pos="1170"/>
          <w:tab w:val="left" w:pos="1530"/>
        </w:tabs>
        <w:spacing w:line="276" w:lineRule="auto"/>
        <w:ind w:hanging="450"/>
        <w:jc w:val="both"/>
        <w:rPr>
          <w:rFonts w:eastAsia="Calibri"/>
          <w:strike/>
          <w:kern w:val="24"/>
        </w:rPr>
      </w:pPr>
      <w:r w:rsidRPr="00EE2DE7">
        <w:rPr>
          <w:rFonts w:eastAsia="Calibri"/>
          <w:kern w:val="24"/>
        </w:rPr>
        <w:t xml:space="preserve">aktivitete të dedikuara për prokurorët gjatë këtij viti akademik kanë qenë: </w:t>
      </w:r>
      <w:r w:rsidRPr="00EE2DE7">
        <w:rPr>
          <w:rFonts w:eastAsia="Times New Roman"/>
          <w:kern w:val="24"/>
        </w:rPr>
        <w:t xml:space="preserve">Metodat speciale të hetimit, veprimet simuluese. Krimi ekonomik, hetimi dhe nxjerrja e pasurisë kriminale. </w:t>
      </w:r>
      <w:r w:rsidRPr="00EE2DE7">
        <w:rPr>
          <w:rFonts w:eastAsia="Times New Roman"/>
          <w:kern w:val="24"/>
        </w:rPr>
        <w:lastRenderedPageBreak/>
        <w:t>Mbrojtja e viktimave në fokusin e padisë civile në procesin penal. Trafikimi i qenieve njerëzore. Organizimi dhe funksionimi i prokurorisë – reforma në drejtësinë penale. Procedurat e falimentit. Njohuri me standardet nd</w:t>
      </w:r>
      <w:r w:rsidRPr="00EE2DE7">
        <w:rPr>
          <w:rFonts w:eastAsia="Times New Roman"/>
          <w:kern w:val="24"/>
          <w:lang w:eastAsia="en-GB"/>
        </w:rPr>
        <w:t>ë</w:t>
      </w:r>
      <w:r w:rsidRPr="00EE2DE7">
        <w:rPr>
          <w:rFonts w:eastAsia="Times New Roman"/>
          <w:kern w:val="24"/>
        </w:rPr>
        <w:t>rkomb</w:t>
      </w:r>
      <w:r w:rsidRPr="00EE2DE7">
        <w:rPr>
          <w:rFonts w:eastAsia="Times New Roman"/>
          <w:kern w:val="24"/>
          <w:lang w:eastAsia="en-GB"/>
        </w:rPr>
        <w:t>ë</w:t>
      </w:r>
      <w:r w:rsidRPr="00EE2DE7">
        <w:rPr>
          <w:rFonts w:eastAsia="Times New Roman"/>
          <w:kern w:val="24"/>
        </w:rPr>
        <w:t xml:space="preserve">tare dhe legjislacionin e ri shqiptar. Roli i prokurorit etj. </w:t>
      </w:r>
    </w:p>
    <w:p w:rsidR="00294F47" w:rsidRDefault="00294F47" w:rsidP="005C2687">
      <w:pPr>
        <w:numPr>
          <w:ilvl w:val="1"/>
          <w:numId w:val="30"/>
        </w:numPr>
        <w:tabs>
          <w:tab w:val="num" w:pos="1080"/>
        </w:tabs>
        <w:spacing w:line="276" w:lineRule="auto"/>
        <w:ind w:left="1080"/>
        <w:jc w:val="both"/>
        <w:rPr>
          <w:rFonts w:eastAsia="Calibri"/>
          <w:strike/>
          <w:kern w:val="24"/>
        </w:rPr>
      </w:pPr>
      <w:r w:rsidRPr="00EE2DE7">
        <w:rPr>
          <w:rFonts w:eastAsia="Calibri"/>
          <w:kern w:val="24"/>
          <w:lang w:eastAsia="ja-JP"/>
        </w:rPr>
        <w:t>aktivitete të dedikuara për gjyqtarët përmendim: Pavarë</w:t>
      </w:r>
      <w:r>
        <w:rPr>
          <w:rFonts w:eastAsia="Calibri"/>
          <w:kern w:val="24"/>
          <w:lang w:eastAsia="ja-JP"/>
        </w:rPr>
        <w:t xml:space="preserve">sia dhe paanësia e gjyqësorit, </w:t>
      </w:r>
      <w:r w:rsidRPr="00EE2DE7">
        <w:rPr>
          <w:rFonts w:eastAsia="Calibri"/>
          <w:kern w:val="24"/>
          <w:lang w:eastAsia="ja-JP"/>
        </w:rPr>
        <w:t xml:space="preserve">drejtësia duhet jo vetëm të bëhet, por edhe të shihet. Menaxhimi aktiv i çështjeve. Shkrim </w:t>
      </w:r>
      <w:r w:rsidRPr="001D6A99">
        <w:rPr>
          <w:rFonts w:eastAsia="Calibri"/>
          <w:kern w:val="24"/>
          <w:lang w:eastAsia="ja-JP"/>
        </w:rPr>
        <w:t>dhe arsyetim ligjor. Juridiksioni kushtetues vs juridiksioni administrativ. E drejta e BE-s</w:t>
      </w:r>
      <w:r w:rsidRPr="001D6A99">
        <w:rPr>
          <w:rFonts w:eastAsia="Times New Roman"/>
          <w:kern w:val="24"/>
          <w:lang w:eastAsia="en-GB"/>
        </w:rPr>
        <w:t>ë</w:t>
      </w:r>
      <w:r w:rsidRPr="001D6A99">
        <w:rPr>
          <w:rFonts w:eastAsia="Calibri"/>
          <w:kern w:val="24"/>
          <w:lang w:eastAsia="ja-JP"/>
        </w:rPr>
        <w:t>,</w:t>
      </w:r>
      <w:r>
        <w:rPr>
          <w:rFonts w:eastAsia="Calibri"/>
          <w:kern w:val="24"/>
          <w:lang w:eastAsia="ja-JP"/>
        </w:rPr>
        <w:t xml:space="preserve"> </w:t>
      </w:r>
      <w:r w:rsidRPr="00EE2DE7">
        <w:rPr>
          <w:rFonts w:eastAsia="Calibri"/>
          <w:kern w:val="24"/>
          <w:lang w:eastAsia="ja-JP"/>
        </w:rPr>
        <w:t xml:space="preserve">Gjykata Europiane dhe juridiksioni i saj. </w:t>
      </w:r>
    </w:p>
    <w:p w:rsidR="00294F47" w:rsidRPr="001D6A99" w:rsidRDefault="00294F47" w:rsidP="005C2687">
      <w:pPr>
        <w:numPr>
          <w:ilvl w:val="1"/>
          <w:numId w:val="30"/>
        </w:numPr>
        <w:tabs>
          <w:tab w:val="num" w:pos="1080"/>
        </w:tabs>
        <w:spacing w:line="276" w:lineRule="auto"/>
        <w:ind w:left="1080"/>
        <w:jc w:val="both"/>
        <w:rPr>
          <w:rFonts w:eastAsia="Calibri"/>
          <w:strike/>
          <w:kern w:val="24"/>
        </w:rPr>
      </w:pPr>
      <w:r w:rsidRPr="001D6A99">
        <w:rPr>
          <w:rFonts w:eastAsia="Calibri"/>
          <w:kern w:val="24"/>
        </w:rPr>
        <w:t xml:space="preserve">si dhe trajnime të përbashkëta siç janë: Raporti: prokurori-gjykatë. Roli i gjyqtarit të seancës paraprake, risitë dhe ecuria e praktikës gjyqësore. Seanca paraprake, si një nga risitë e sjella në Kodit(n) e Procedurës Penale, me ligjin nr. 35/2017, në Kodin e Procedurës Penale. Veçoritë e seancës paraprake dhe të drejtat e palëve. Vendimi për plotësimin e hetimeve. Ndryshimi i akuzës në seancën paraprake. Paraqitja e kërkesës për gjykim të shkurtuar në seancën paraprake dhe roli që ka gjyqtari i seancës paraprake në shqyrtimin e saj. Llojet e vendimeve që merr gjyqtari në përfundim të seancës paraprake. Elementet e vendimit të seancës paraprake dhe fashikulli i gjykimit. Drejtësia penale për të mitur. Standardet ndërkombëtare lidhur me parimet e drejtësisë miqësore për të miturit dhe risitë e legjislacionit shqiptar (Kodi i Procedurës Penale dhe Kodi i Drejtësisë Penale për të Mitur). Roli i gjyqtarëve dhe prokurorëve në zbatimin e të drejtave të pronësisë intelektuale. Refleksione rreth praktikës gjyqësore në lidhje me institutin e bashkëpunimit në veprën penale dhe problematikat e krijuara pas daljes së Vendimit Unifikues nr. 4, datë 15.4.2011, të Kolegjeve të Bashkuara të Gjykatës së Lartë. </w:t>
      </w:r>
      <w:r w:rsidRPr="001D6A99">
        <w:rPr>
          <w:rFonts w:eastAsia="Calibri"/>
          <w:kern w:val="24"/>
          <w:lang w:eastAsia="ja-JP"/>
        </w:rPr>
        <w:t>Mbi standardet e kërkuara në marrëdhëniet midis gjyqtarëve dhe prokurorëve etj</w:t>
      </w:r>
      <w:r w:rsidRPr="001D6A99">
        <w:rPr>
          <w:rFonts w:eastAsia="Calibri"/>
          <w:kern w:val="24"/>
        </w:rPr>
        <w:t>.</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Plotësimi i kërkesave dhe i nevojave të seksioneve të reja ose të gjyqtarëve që kanë lëvizur në këto seksione, si për shembull, trajnimet e dedikuara për gjyqtarët e Gjykatave Administrative në rreth e apel me tematikë: Risitë që sjell Kodi i ri i Procedurave Administrative në krahasim me Kodin e mëparshëm. Marrëdhëniet e punës dhe problemet që ndeshen në praktikën gjyqësore në kuadër të zbatimit të dispozitave të Kodit të Punës, ligjit nr. 49/2014, si dhe ligjit nr. 152/2013, “</w:t>
      </w:r>
      <w:r w:rsidRPr="00EE2DE7">
        <w:rPr>
          <w:rFonts w:eastAsia="Calibri"/>
          <w:i/>
          <w:kern w:val="24"/>
        </w:rPr>
        <w:t>Për nëpunësin civil</w:t>
      </w:r>
      <w:r w:rsidRPr="00EE2DE7">
        <w:rPr>
          <w:rFonts w:eastAsia="Calibri"/>
          <w:kern w:val="24"/>
        </w:rPr>
        <w:t>”. Transferimi (transferimi i përkohshëm dhe i përhershëm) si dhe përfundimi i marrëdhënies së punës sipas Kodit të Punës dhe lirimi nga shërbimi civil. Dallimi mes gjykimit administrativ dhe atij civil në aspektin e zbatimit të rregullave procedurale. Roli i gjykatës civile dhe administrative në këto gjykime dhe trajtimi i problemeve që shfaqen aktualisht. Procedura administrative nën këndvështrimin e Kodit të ri. Drejtësia administrative. E përbashkëta dhe dallimet me sistemet e tjera europiane dhe me të drejtën e BE-së. Kontrata administrative e prokurimit publik, analizuar edhe në ndryshimet që sjell Kodi i ri i Procedurave Administrative. E drejta administrative në kontekstin ndërkombëtar etj.</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 xml:space="preserve">Plotësimi i kërkesave dhe i nevojave të gjyqtarëve mbi tematika të veçanta, si: parandalimi dhe goditja e krimit të organizuar, trafikimit, korrupsionit dhe veprave të tjera penale, lufta kundër terrorizmit, krimi kibernetik, emigracioni i paligjshëm etj. </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Plotësimi i kërkesave dhe i nevojave, parë edhe në këndvështrimin e një tematike rajonale. Në këtë aspekt janë ndërmarrë organizimi dhe zhvillimi i 6 (gjashtë) tryezave diskutimi me temë: “</w:t>
      </w:r>
      <w:r w:rsidRPr="00EE2DE7">
        <w:rPr>
          <w:rFonts w:eastAsia="Calibri"/>
          <w:i/>
          <w:kern w:val="24"/>
        </w:rPr>
        <w:t>Menaxhimi aktiv i çështjeve në gjykata</w:t>
      </w:r>
      <w:r w:rsidRPr="00EE2DE7">
        <w:rPr>
          <w:rFonts w:eastAsia="Calibri"/>
          <w:kern w:val="24"/>
        </w:rPr>
        <w:t xml:space="preserve">” me pjesëmarrës gjyqtarë të gjykatave të rretheve të ndryshme gjyqësore, </w:t>
      </w:r>
      <w:r w:rsidRPr="00EE2DE7">
        <w:rPr>
          <w:rFonts w:eastAsia="Calibri"/>
          <w:kern w:val="24"/>
        </w:rPr>
        <w:lastRenderedPageBreak/>
        <w:t>duke zhvilluar aktivitetin e parë me gjyqtarë të Gjykatës së Rrethit Gjyqësor Fier. Duke marrë shkas nga ndryshimet e bëra në Kodin e Procedurës Penale, janë zhvilluar 9 (nëntë) aktivitete trajnuese rajonale me tematikë ndryshimet në këtë Kod; janë zhvilluar 2 (dy) aktivitete trajnuese rajonale për administratën gjyqësore si edhe në bashkëpunim me KiE-n</w:t>
      </w:r>
      <w:r w:rsidRPr="00EE2DE7">
        <w:rPr>
          <w:rFonts w:eastAsia="MS Mincho"/>
          <w:kern w:val="24"/>
        </w:rPr>
        <w:t>ë</w:t>
      </w:r>
      <w:r w:rsidRPr="00EE2DE7">
        <w:rPr>
          <w:rFonts w:eastAsia="Calibri"/>
          <w:kern w:val="24"/>
        </w:rPr>
        <w:t xml:space="preserve"> janë zhvilluar 5 (pesë) aktivitete trajnuese rajonale me tematikë lirinë e shprehjes si edhe 4 (katër) aktivitete trajnuese rajonale me tematikë të drejtën e pronës.</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Ofrimi i një trajnimi që synon drejt praktikave më përparimtare të p</w:t>
      </w:r>
      <w:r w:rsidRPr="00EE2DE7">
        <w:rPr>
          <w:rFonts w:eastAsia="Times New Roman"/>
          <w:kern w:val="24"/>
          <w:lang w:eastAsia="en-GB"/>
        </w:rPr>
        <w:t>ërditësuara</w:t>
      </w:r>
      <w:r w:rsidRPr="00EE2DE7">
        <w:rPr>
          <w:rFonts w:eastAsia="Calibri"/>
          <w:kern w:val="24"/>
        </w:rPr>
        <w:t xml:space="preserve"> edhe me standardet e evidentuara nga Gjykata Europiane e të Drejtave të Njeriut edhe nga praktika e vendeve të tjera apo e Gjykatës Europiane të Drejtësisë. Thuajse në të gjitha sesionet trajnuese ekspertët kanë p</w:t>
      </w:r>
      <w:r w:rsidRPr="00EE2DE7">
        <w:rPr>
          <w:rFonts w:eastAsia="Times New Roman"/>
          <w:kern w:val="24"/>
          <w:lang w:eastAsia="en-GB"/>
        </w:rPr>
        <w:t>ërditësuar</w:t>
      </w:r>
      <w:r w:rsidRPr="00EE2DE7">
        <w:rPr>
          <w:rFonts w:eastAsia="Calibri"/>
          <w:kern w:val="24"/>
        </w:rPr>
        <w:t xml:space="preserve"> temat e tyre me këtë jurisprudencë.</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Thellimi dhe specializimi në fusha të veçanta.</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 xml:space="preserve">Seleksionimi i ekspertizës më të mirë të brendshme dhe ndërkombëtare në fusha të veçanta. Në lidhje me ekspertizën vendase përmendim </w:t>
      </w:r>
      <w:r w:rsidRPr="00EE2DE7">
        <w:rPr>
          <w:rFonts w:eastAsia="Calibri"/>
          <w:b/>
          <w:i/>
          <w:kern w:val="24"/>
        </w:rPr>
        <w:t>ekspertët nga gjyqësori</w:t>
      </w:r>
      <w:r w:rsidRPr="00EE2DE7">
        <w:rPr>
          <w:rFonts w:eastAsia="Calibri"/>
          <w:kern w:val="24"/>
        </w:rPr>
        <w:t xml:space="preserve">: Admir Belishta, Albana Boksi, Altina Nasufi, Amarildo Laçi, Ardian Dvorani, Elda Vrioni, Ervin Metalla, Ervin Pollozhani, Fatri Islamaj, Fjoralba Prifti, Kastriot Selita, Klodian Kurushi, Lindita Sinanaj, Margarita Buhali, Saida Dollani, Sandër Simoni, Valbona Vata, Vitore Tusha, Xhezair Zaganjori; Admir Thanza; Valbona Vata(e perseritur); </w:t>
      </w:r>
      <w:r w:rsidRPr="00EE2DE7">
        <w:rPr>
          <w:rFonts w:eastAsia="Calibri"/>
          <w:b/>
          <w:i/>
          <w:kern w:val="24"/>
        </w:rPr>
        <w:t>ndër ekspertët nga prokuroria</w:t>
      </w:r>
      <w:r w:rsidRPr="00EE2DE7">
        <w:rPr>
          <w:rFonts w:eastAsia="Calibri"/>
          <w:kern w:val="24"/>
        </w:rPr>
        <w:t xml:space="preserve">: Arian Muçaj, Arqile Koça, Artur Selmani, Adnand Kosova; Arben Kraja; Altin Dumani; Dritan Rreshka, Henrik Ligori, Olsian Çela; </w:t>
      </w:r>
      <w:r w:rsidRPr="00EE2DE7">
        <w:rPr>
          <w:rFonts w:eastAsia="Calibri"/>
          <w:b/>
          <w:i/>
          <w:kern w:val="24"/>
        </w:rPr>
        <w:t>ekspert</w:t>
      </w:r>
      <w:r w:rsidRPr="00EE2DE7">
        <w:rPr>
          <w:rFonts w:eastAsia="Times New Roman"/>
          <w:b/>
          <w:i/>
          <w:kern w:val="24"/>
          <w:lang w:eastAsia="en-GB"/>
        </w:rPr>
        <w:t>ë</w:t>
      </w:r>
      <w:r w:rsidRPr="00EE2DE7">
        <w:rPr>
          <w:rFonts w:eastAsia="Calibri"/>
          <w:b/>
          <w:i/>
          <w:kern w:val="24"/>
        </w:rPr>
        <w:t xml:space="preserve"> të tjerë</w:t>
      </w:r>
      <w:r w:rsidRPr="00EE2DE7">
        <w:rPr>
          <w:rFonts w:eastAsia="Calibri"/>
          <w:kern w:val="24"/>
        </w:rPr>
        <w:t>: Alma Hicka, Arben Isaraj, Artan Hoxha, Skënder Kaçupi, Artan Hajdari, Arta Mandro, Arben Rakipi, Dashamir Kore, Sokol Berberi, Elira Kokona, Eralda Met’hasani, Evis Alimehmeti, Idlir Peçi,  Mariana Semini, Manjola Xhaxho, Marsida Xhaferllari, Shamet Shabani, Sokol Sadushi, Vilma Sharofi, Vangjel Kosta, Arben Malaj, Arta Vorpsi, Gent Ibrahimi, Ardjana Kalo, Ilir Mandro, Bledar Stefa, Romeo Nazarko, Mit’hat Tola, Anila Sulstarova, Livia Nano, Eugjen Sotiri.</w:t>
      </w:r>
    </w:p>
    <w:p w:rsidR="00294F47" w:rsidRPr="00EE2DE7" w:rsidRDefault="00294F47" w:rsidP="005C2687">
      <w:pPr>
        <w:numPr>
          <w:ilvl w:val="0"/>
          <w:numId w:val="30"/>
        </w:numPr>
        <w:tabs>
          <w:tab w:val="clear" w:pos="720"/>
          <w:tab w:val="num" w:pos="360"/>
        </w:tabs>
        <w:spacing w:line="276" w:lineRule="auto"/>
        <w:ind w:left="360"/>
        <w:jc w:val="both"/>
        <w:rPr>
          <w:rFonts w:eastAsia="Calibri"/>
          <w:kern w:val="24"/>
        </w:rPr>
      </w:pPr>
      <w:r w:rsidRPr="00EE2DE7">
        <w:rPr>
          <w:rFonts w:eastAsia="Calibri"/>
          <w:kern w:val="24"/>
        </w:rPr>
        <w:t>Ballafaqime me sfidat dhe eksperiencat më pozitive etj.</w:t>
      </w:r>
    </w:p>
    <w:p w:rsidR="00294F47" w:rsidRPr="00EE2DE7" w:rsidRDefault="00294F47" w:rsidP="00294F47">
      <w:pPr>
        <w:spacing w:line="276" w:lineRule="auto"/>
        <w:jc w:val="both"/>
        <w:outlineLvl w:val="0"/>
        <w:rPr>
          <w:rFonts w:eastAsia="Calibri"/>
          <w:b/>
          <w:kern w:val="24"/>
        </w:rPr>
      </w:pPr>
    </w:p>
    <w:p w:rsidR="00294F47" w:rsidRPr="00EE2DE7" w:rsidRDefault="00294F47" w:rsidP="00294F47">
      <w:pPr>
        <w:spacing w:line="276" w:lineRule="auto"/>
        <w:jc w:val="both"/>
        <w:outlineLvl w:val="0"/>
        <w:rPr>
          <w:rFonts w:eastAsia="Calibri"/>
          <w:b/>
          <w:color w:val="1F497D"/>
          <w:kern w:val="24"/>
        </w:rPr>
      </w:pPr>
      <w:r w:rsidRPr="00EE2DE7">
        <w:rPr>
          <w:rFonts w:eastAsia="Calibri"/>
          <w:b/>
          <w:color w:val="1F497D"/>
          <w:kern w:val="24"/>
        </w:rPr>
        <w:t>Realizimi konkret i programit</w:t>
      </w:r>
    </w:p>
    <w:p w:rsidR="00294F47" w:rsidRPr="00EE2DE7" w:rsidRDefault="00294F47" w:rsidP="00294F47">
      <w:pPr>
        <w:spacing w:line="276" w:lineRule="auto"/>
        <w:ind w:firstLine="720"/>
        <w:jc w:val="both"/>
        <w:rPr>
          <w:rFonts w:eastAsia="Calibri"/>
          <w:kern w:val="24"/>
        </w:rPr>
      </w:pPr>
      <w:r w:rsidRPr="00EE2DE7">
        <w:rPr>
          <w:rFonts w:eastAsia="Calibri"/>
          <w:kern w:val="24"/>
        </w:rPr>
        <w:t xml:space="preserve">Shkolla e Magjistraturës ka hyrë në vitin e shtatëmbëdhjetë të zbatimit të Programit të Formimit Vazhdues të gjyqtarëve dhe prokurorëve bazuar në një program dhe kalendar paraprak. </w:t>
      </w:r>
    </w:p>
    <w:p w:rsidR="00294F47" w:rsidRPr="00EE2DE7" w:rsidRDefault="00294F47" w:rsidP="00294F47">
      <w:pPr>
        <w:spacing w:line="276" w:lineRule="auto"/>
        <w:jc w:val="both"/>
        <w:rPr>
          <w:rFonts w:eastAsia="Calibri"/>
          <w:b/>
          <w:kern w:val="24"/>
        </w:rPr>
      </w:pPr>
    </w:p>
    <w:p w:rsidR="00294F47" w:rsidRPr="00EE2DE7" w:rsidRDefault="00294F47" w:rsidP="00294F47">
      <w:pPr>
        <w:spacing w:line="276" w:lineRule="auto"/>
        <w:jc w:val="both"/>
        <w:rPr>
          <w:rFonts w:eastAsia="Calibri"/>
          <w:color w:val="1F497D"/>
          <w:kern w:val="24"/>
        </w:rPr>
      </w:pPr>
      <w:r w:rsidRPr="00EE2DE7">
        <w:rPr>
          <w:rFonts w:eastAsia="Calibri"/>
          <w:b/>
          <w:color w:val="1F497D"/>
          <w:kern w:val="24"/>
        </w:rPr>
        <w:t>Dinamizmi i PTV-s</w:t>
      </w:r>
      <w:r w:rsidRPr="00EE2DE7">
        <w:rPr>
          <w:rFonts w:eastAsia="Times New Roman"/>
          <w:b/>
          <w:color w:val="1F497D"/>
          <w:kern w:val="24"/>
          <w:lang w:eastAsia="en-GB"/>
        </w:rPr>
        <w:t>ë</w:t>
      </w:r>
    </w:p>
    <w:p w:rsidR="00294F47" w:rsidRPr="00EE2DE7" w:rsidRDefault="00294F47" w:rsidP="00294F47">
      <w:pPr>
        <w:spacing w:line="276" w:lineRule="auto"/>
        <w:ind w:firstLine="720"/>
        <w:jc w:val="both"/>
        <w:rPr>
          <w:rFonts w:eastAsia="Calibri"/>
          <w:kern w:val="24"/>
        </w:rPr>
      </w:pPr>
      <w:r w:rsidRPr="00EE2DE7">
        <w:rPr>
          <w:rFonts w:eastAsia="Calibri"/>
          <w:kern w:val="24"/>
        </w:rPr>
        <w:t xml:space="preserve">Tashmë janë të qarta përfitimet e hartimit të </w:t>
      </w:r>
      <w:r w:rsidRPr="009A01C5">
        <w:rPr>
          <w:rFonts w:eastAsia="Calibri"/>
          <w:kern w:val="24"/>
        </w:rPr>
        <w:t>një programi trevjeçar</w:t>
      </w:r>
      <w:r w:rsidRPr="00EE2DE7">
        <w:rPr>
          <w:rFonts w:eastAsia="Calibri"/>
          <w:color w:val="00B0F0"/>
          <w:kern w:val="24"/>
        </w:rPr>
        <w:t xml:space="preserve">. </w:t>
      </w:r>
      <w:r w:rsidRPr="00EE2DE7">
        <w:rPr>
          <w:rFonts w:eastAsia="Calibri"/>
          <w:kern w:val="24"/>
        </w:rPr>
        <w:t>E nënvizojmë këtë, sepse ndërkohë që p</w:t>
      </w:r>
      <w:r w:rsidRPr="00EE2DE7">
        <w:rPr>
          <w:rFonts w:eastAsia="Times New Roman"/>
          <w:kern w:val="24"/>
          <w:lang w:eastAsia="en-GB"/>
        </w:rPr>
        <w:t>ërditësimi</w:t>
      </w:r>
      <w:r w:rsidRPr="00EE2DE7">
        <w:rPr>
          <w:rFonts w:eastAsia="Calibri"/>
          <w:kern w:val="24"/>
        </w:rPr>
        <w:t xml:space="preserve"> i programit bëhet pa pengesë ndër vite, duke pasur një bërthamë tematike të përcaktuar në fillim të trevjeçarit, kursehet kohë dhe energji; kontrollohet më mirë procesi, sepse Shkolla ka mundësi më të mëdha të ndjekë në mënyrë progresive aktivitetet trajnuese në kuptimin që të ofrojë një program të larmishëm; krijohet mundësi që të menaxhohet më mirë shpërndarja tematike në rastet e temave të përsëritura në vite të ndryshme dhe me grupe të ndryshme. Një sërë temash janë zhvilluar si module për herë të parë; por kjo </w:t>
      </w:r>
      <w:r w:rsidRPr="00EE2DE7">
        <w:rPr>
          <w:rFonts w:eastAsia="Calibri"/>
          <w:iCs/>
          <w:kern w:val="24"/>
        </w:rPr>
        <w:t>nuk e ka penguar</w:t>
      </w:r>
      <w:r w:rsidRPr="00EE2DE7">
        <w:rPr>
          <w:rFonts w:eastAsia="Calibri"/>
          <w:kern w:val="24"/>
        </w:rPr>
        <w:t xml:space="preserve"> aspak në përfshirjen e risive në program, duke lënë një kohë më të madhe për përgatitjen e atyre që konsiderohen si çështje të reja.</w:t>
      </w:r>
    </w:p>
    <w:p w:rsidR="00294F47" w:rsidRPr="00EE2DE7" w:rsidRDefault="00294F47" w:rsidP="00294F47">
      <w:pPr>
        <w:spacing w:line="276" w:lineRule="auto"/>
        <w:ind w:firstLine="720"/>
        <w:jc w:val="both"/>
        <w:rPr>
          <w:rFonts w:eastAsia="Calibri"/>
          <w:kern w:val="24"/>
        </w:rPr>
      </w:pPr>
      <w:r w:rsidRPr="00EE2DE7">
        <w:rPr>
          <w:rFonts w:eastAsia="Calibri"/>
          <w:kern w:val="24"/>
        </w:rPr>
        <w:t xml:space="preserve">Programi i Formimit Vazhdues trevjeçar, pasuar me formularët e regjistrimit për këtë periudhë, janë baza nga ku lind edhe kalendari për çdo vit akademik, duke parashikuar sasinë e trajnimeve apo ripërsëritjen e një teme/kursi të shpërndarë brenda këtyre tri viteve. Kalendari i çdo viti akademik ka </w:t>
      </w:r>
      <w:r w:rsidRPr="00EE2DE7">
        <w:rPr>
          <w:rFonts w:eastAsia="Calibri"/>
          <w:kern w:val="24"/>
        </w:rPr>
        <w:lastRenderedPageBreak/>
        <w:t xml:space="preserve">natyrë elastike, pasi gjatë një viti pasurohet duke përmbushur kërkesat e përfituesve. Për të mbështetur këtë, mjafton të shohim numrin e aktiviteteve të miratuara nga Këshilli Drejtues në fillim të vitit akademik dhe çfarë ndryshimesh kemi në fund të tij. </w:t>
      </w:r>
      <w:r w:rsidRPr="00EE2DE7">
        <w:rPr>
          <w:rFonts w:eastAsia="Calibri"/>
          <w:b/>
          <w:kern w:val="24"/>
        </w:rPr>
        <w:t>Kështu, për vitin 2017-2018 ndërsa Këshilli Drejtues i SHM-s</w:t>
      </w:r>
      <w:r w:rsidRPr="00EE2DE7">
        <w:rPr>
          <w:rFonts w:eastAsia="Times New Roman"/>
          <w:b/>
          <w:kern w:val="24"/>
          <w:lang w:eastAsia="en-GB"/>
        </w:rPr>
        <w:t>ë</w:t>
      </w:r>
      <w:r w:rsidRPr="00EE2DE7">
        <w:rPr>
          <w:rFonts w:eastAsia="Calibri"/>
          <w:b/>
          <w:kern w:val="24"/>
        </w:rPr>
        <w:t xml:space="preserve"> miratoi  184 (njëqind e tetëdhjetë e katër) aktivitete trajnuese, ky numër shkoi në 213 (dyqind e trembëdhjetë) aktivitete të realizuara.</w:t>
      </w:r>
    </w:p>
    <w:p w:rsidR="00294F47" w:rsidRPr="00EE2DE7" w:rsidRDefault="00294F47" w:rsidP="00294F47">
      <w:pPr>
        <w:spacing w:line="276" w:lineRule="auto"/>
        <w:ind w:firstLine="720"/>
        <w:jc w:val="both"/>
        <w:rPr>
          <w:rFonts w:eastAsia="Calibri"/>
          <w:kern w:val="24"/>
        </w:rPr>
      </w:pPr>
      <w:r w:rsidRPr="00EE2DE7">
        <w:rPr>
          <w:rFonts w:eastAsia="Calibri"/>
          <w:kern w:val="24"/>
        </w:rPr>
        <w:t>Dinamizmi shfaqet edhe në disa drejtime të tjera, p.sh.: te rasti i temave të përsëritura dinamizmi reflektohet në pasurimin e tyre me praktikë dhe standarde të reja ligjore e praktik</w:t>
      </w:r>
      <w:r w:rsidRPr="00EE2DE7">
        <w:rPr>
          <w:rFonts w:eastAsia="Times New Roman"/>
          <w:kern w:val="24"/>
          <w:lang w:eastAsia="en-GB"/>
        </w:rPr>
        <w:t>ë</w:t>
      </w:r>
      <w:r w:rsidRPr="00EE2DE7">
        <w:rPr>
          <w:rFonts w:eastAsia="Calibri"/>
          <w:kern w:val="24"/>
        </w:rPr>
        <w:t xml:space="preserve"> kombëtare e ndërkombëtare. Sa i përket çështjeve të reja mund të themi se interesi për to, bëhet edhe më i duksh</w:t>
      </w:r>
      <w:r w:rsidRPr="00EE2DE7">
        <w:rPr>
          <w:rFonts w:eastAsia="Times New Roman"/>
          <w:kern w:val="24"/>
          <w:lang w:eastAsia="en-GB"/>
        </w:rPr>
        <w:t>ëm</w:t>
      </w:r>
      <w:r w:rsidRPr="00EE2DE7">
        <w:rPr>
          <w:rFonts w:eastAsia="Calibri"/>
          <w:kern w:val="24"/>
        </w:rPr>
        <w:t xml:space="preserve"> kur praktika ka nxjerrë problemet e veta të para. </w:t>
      </w:r>
    </w:p>
    <w:p w:rsidR="00294F47" w:rsidRPr="00EE2DE7" w:rsidRDefault="00294F47" w:rsidP="00294F47">
      <w:pPr>
        <w:spacing w:line="276" w:lineRule="auto"/>
        <w:jc w:val="both"/>
        <w:outlineLvl w:val="0"/>
        <w:rPr>
          <w:rFonts w:eastAsia="Calibri"/>
          <w:b/>
          <w:kern w:val="24"/>
        </w:rPr>
      </w:pPr>
    </w:p>
    <w:p w:rsidR="00294F47" w:rsidRPr="00294F47" w:rsidRDefault="00294F47" w:rsidP="00294F47">
      <w:pPr>
        <w:spacing w:line="276" w:lineRule="auto"/>
        <w:jc w:val="both"/>
        <w:rPr>
          <w:rFonts w:eastAsia="Calibri"/>
          <w:b/>
          <w:color w:val="1F497D"/>
          <w:kern w:val="24"/>
        </w:rPr>
      </w:pPr>
      <w:r w:rsidRPr="00294F47">
        <w:rPr>
          <w:rFonts w:eastAsia="Calibri"/>
          <w:b/>
          <w:color w:val="1F497D"/>
          <w:kern w:val="24"/>
        </w:rPr>
        <w:t>Stafi i PFV-së</w:t>
      </w:r>
    </w:p>
    <w:p w:rsidR="00294F47" w:rsidRPr="00EE2DE7" w:rsidRDefault="00294F47" w:rsidP="00294F47">
      <w:pPr>
        <w:spacing w:line="276" w:lineRule="auto"/>
        <w:ind w:firstLine="720"/>
        <w:jc w:val="both"/>
        <w:rPr>
          <w:rFonts w:eastAsia="Calibri"/>
          <w:kern w:val="24"/>
        </w:rPr>
      </w:pPr>
      <w:r w:rsidRPr="00EE2DE7">
        <w:rPr>
          <w:rFonts w:eastAsia="Calibri"/>
          <w:kern w:val="24"/>
        </w:rPr>
        <w:t>Përbëhet nga dy pedagogë me kohë të plotë, ku njëri prej tyre është Përgjegjësi i Departamentit, i cili është njëkohësisht edhe anëtar i Këshillit Drejtues të Shkollës së Magjistraturës; një përgjegjës i Sektorit të Formimit Vazhdues dhe dy sekretar</w:t>
      </w:r>
      <w:r w:rsidRPr="00EE2DE7">
        <w:rPr>
          <w:rFonts w:eastAsia="Times New Roman"/>
          <w:kern w:val="24"/>
          <w:lang w:eastAsia="en-GB"/>
        </w:rPr>
        <w:t>ë</w:t>
      </w:r>
      <w:r w:rsidRPr="00EE2DE7">
        <w:rPr>
          <w:rFonts w:eastAsia="Calibri"/>
          <w:kern w:val="24"/>
        </w:rPr>
        <w:t xml:space="preserve"> shkencorë, që kanë marrë detyrën këtë vit akademik. Nisur nga rekomandimet e vazhdueshme të partnerëve ndërkombëtar</w:t>
      </w:r>
      <w:r w:rsidRPr="00EE2DE7">
        <w:rPr>
          <w:rFonts w:eastAsia="MS Mincho"/>
          <w:kern w:val="24"/>
        </w:rPr>
        <w:t>ë</w:t>
      </w:r>
      <w:r w:rsidRPr="00EE2DE7">
        <w:rPr>
          <w:rFonts w:eastAsia="Calibri"/>
          <w:kern w:val="24"/>
        </w:rPr>
        <w:t xml:space="preserve"> dhe nisur nga eksperiencat e shkollave homologe, Formimi Vazhdues për vet</w:t>
      </w:r>
      <w:r w:rsidRPr="00EE2DE7">
        <w:rPr>
          <w:rFonts w:eastAsia="Times New Roman"/>
          <w:kern w:val="24"/>
          <w:lang w:eastAsia="en-GB"/>
        </w:rPr>
        <w:t>ë</w:t>
      </w:r>
      <w:r w:rsidRPr="00EE2DE7">
        <w:rPr>
          <w:rFonts w:eastAsia="Calibri"/>
          <w:kern w:val="24"/>
        </w:rPr>
        <w:t xml:space="preserve"> natyrën e veprimtarisë së vet duhet të mb</w:t>
      </w:r>
      <w:r w:rsidRPr="00EE2DE7">
        <w:rPr>
          <w:rFonts w:eastAsia="Times New Roman"/>
          <w:kern w:val="24"/>
          <w:lang w:eastAsia="en-GB"/>
        </w:rPr>
        <w:t xml:space="preserve">ështetet në </w:t>
      </w:r>
      <w:r w:rsidRPr="00EE2DE7">
        <w:rPr>
          <w:rFonts w:eastAsia="Calibri"/>
          <w:kern w:val="24"/>
        </w:rPr>
        <w:t>dy aspekte: n</w:t>
      </w:r>
      <w:r w:rsidRPr="00EE2DE7">
        <w:rPr>
          <w:rFonts w:eastAsia="Times New Roman"/>
          <w:kern w:val="24"/>
          <w:lang w:eastAsia="en-GB"/>
        </w:rPr>
        <w:t xml:space="preserve">ë </w:t>
      </w:r>
      <w:r w:rsidRPr="00EE2DE7">
        <w:rPr>
          <w:rFonts w:eastAsia="Calibri"/>
          <w:kern w:val="24"/>
        </w:rPr>
        <w:t>aspektin shkencor dhe atë praktik. Vendimi i Këshillit Drejtues të Shkollës për të përzgjedhur njërin nga pedagogët e Formimit Vazhdues nga radhët e gjyqësorit ose të prokurorisë, jep mundësinë e gërshetimit të teorisë me aspektet praktike. Mund të themi se stafi i Formimit Vazhdues është i ri nga pikëpamja e sekretariatit dhe po kujdeset që të përballojë ngarkesën tipike të këtij sektori. Shtimet organike do të ishin të mirëpritura.</w:t>
      </w:r>
    </w:p>
    <w:p w:rsidR="006F39AB" w:rsidRDefault="006F39AB" w:rsidP="00294F47">
      <w:pPr>
        <w:spacing w:line="276" w:lineRule="auto"/>
        <w:rPr>
          <w:b/>
          <w:color w:val="CC9966" w:themeColor="accent2"/>
          <w:sz w:val="32"/>
        </w:rPr>
      </w:pPr>
    </w:p>
    <w:p w:rsidR="002478E2" w:rsidRDefault="00294F47" w:rsidP="00294F47">
      <w:pPr>
        <w:spacing w:line="276" w:lineRule="auto"/>
        <w:rPr>
          <w:b/>
          <w:color w:val="CC9966" w:themeColor="accent2"/>
          <w:sz w:val="32"/>
        </w:rPr>
      </w:pPr>
      <w:r w:rsidRPr="00294F47">
        <w:rPr>
          <w:b/>
          <w:color w:val="CC9966" w:themeColor="accent2"/>
          <w:sz w:val="32"/>
        </w:rPr>
        <w:t>2.2 Përmbajtja dhe tematika e Programit të Formimit Vazhdues për vitin akademik 2017-2018</w:t>
      </w:r>
    </w:p>
    <w:p w:rsidR="006F39AB" w:rsidRDefault="00294F47" w:rsidP="009D3274">
      <w:pPr>
        <w:spacing w:line="276" w:lineRule="auto"/>
        <w:jc w:val="both"/>
        <w:rPr>
          <w:rFonts w:eastAsia="Calibri"/>
          <w:kern w:val="24"/>
          <w:szCs w:val="23"/>
        </w:rPr>
      </w:pPr>
      <w:r w:rsidRPr="00EE2DE7">
        <w:rPr>
          <w:rFonts w:eastAsia="Calibri"/>
          <w:kern w:val="24"/>
          <w:szCs w:val="23"/>
        </w:rPr>
        <w:t>Aktivitetet trajnuese kanë filluar në muajin shtator 2017 dhe kanë përfunduar në muajin korrik 2018.</w:t>
      </w:r>
    </w:p>
    <w:tbl>
      <w:tblPr>
        <w:tblStyle w:val="LightGrid-Accent2"/>
        <w:tblpPr w:leftFromText="180" w:rightFromText="180" w:vertAnchor="text" w:horzAnchor="page" w:tblpX="1729" w:tblpY="264"/>
        <w:tblW w:w="7651" w:type="dxa"/>
        <w:tblLook w:val="04A0" w:firstRow="1" w:lastRow="0" w:firstColumn="1" w:lastColumn="0" w:noHBand="0" w:noVBand="1"/>
      </w:tblPr>
      <w:tblGrid>
        <w:gridCol w:w="560"/>
        <w:gridCol w:w="1775"/>
        <w:gridCol w:w="1172"/>
        <w:gridCol w:w="2700"/>
        <w:gridCol w:w="1444"/>
      </w:tblGrid>
      <w:tr w:rsidR="00B348F7" w:rsidRPr="00EE2DE7" w:rsidTr="00B348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hideMark/>
          </w:tcPr>
          <w:p w:rsidR="00B348F7" w:rsidRPr="002C0C61" w:rsidRDefault="00B348F7" w:rsidP="00B348F7">
            <w:pPr>
              <w:rPr>
                <w:rFonts w:eastAsia="Times New Roman"/>
                <w:b w:val="0"/>
                <w:bCs w:val="0"/>
                <w:kern w:val="24"/>
                <w:sz w:val="20"/>
              </w:rPr>
            </w:pPr>
            <w:r w:rsidRPr="002C0C61">
              <w:rPr>
                <w:rFonts w:eastAsia="Times New Roman"/>
                <w:b w:val="0"/>
                <w:bCs w:val="0"/>
                <w:kern w:val="24"/>
                <w:sz w:val="20"/>
              </w:rPr>
              <w:t>Nr.</w:t>
            </w:r>
          </w:p>
        </w:tc>
        <w:tc>
          <w:tcPr>
            <w:tcW w:w="1775" w:type="dxa"/>
            <w:noWrap/>
            <w:hideMark/>
          </w:tcPr>
          <w:p w:rsidR="00B348F7" w:rsidRPr="002C0C61" w:rsidRDefault="00B348F7" w:rsidP="00B348F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kern w:val="24"/>
                <w:sz w:val="20"/>
              </w:rPr>
            </w:pPr>
            <w:r w:rsidRPr="002C0C61">
              <w:rPr>
                <w:rFonts w:eastAsia="Times New Roman"/>
                <w:b w:val="0"/>
                <w:bCs w:val="0"/>
                <w:kern w:val="24"/>
                <w:sz w:val="20"/>
              </w:rPr>
              <w:t>Muajt</w:t>
            </w:r>
          </w:p>
        </w:tc>
        <w:tc>
          <w:tcPr>
            <w:tcW w:w="1172" w:type="dxa"/>
            <w:noWrap/>
            <w:hideMark/>
          </w:tcPr>
          <w:p w:rsidR="00B348F7" w:rsidRPr="002C0C61" w:rsidRDefault="00B348F7" w:rsidP="00B348F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kern w:val="24"/>
                <w:sz w:val="20"/>
              </w:rPr>
            </w:pPr>
            <w:r w:rsidRPr="002C0C61">
              <w:rPr>
                <w:rFonts w:eastAsia="Times New Roman"/>
                <w:b w:val="0"/>
                <w:bCs w:val="0"/>
                <w:kern w:val="24"/>
                <w:sz w:val="20"/>
              </w:rPr>
              <w:t>Trajnime SHM</w:t>
            </w:r>
          </w:p>
        </w:tc>
        <w:tc>
          <w:tcPr>
            <w:tcW w:w="2700" w:type="dxa"/>
            <w:noWrap/>
            <w:hideMark/>
          </w:tcPr>
          <w:p w:rsidR="00B348F7" w:rsidRPr="002C0C61" w:rsidRDefault="00B348F7" w:rsidP="00B348F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kern w:val="24"/>
                <w:sz w:val="20"/>
              </w:rPr>
            </w:pPr>
            <w:r w:rsidRPr="002C0C61">
              <w:rPr>
                <w:rFonts w:eastAsia="Times New Roman"/>
                <w:b w:val="0"/>
                <w:bCs w:val="0"/>
                <w:kern w:val="24"/>
                <w:sz w:val="20"/>
              </w:rPr>
              <w:t>Trajnime të mbështetura/të zhvilluara me donatorë</w:t>
            </w:r>
          </w:p>
        </w:tc>
        <w:tc>
          <w:tcPr>
            <w:tcW w:w="1444" w:type="dxa"/>
            <w:noWrap/>
            <w:hideMark/>
          </w:tcPr>
          <w:p w:rsidR="00B348F7" w:rsidRPr="002C0C61" w:rsidRDefault="00B348F7" w:rsidP="00B348F7">
            <w:pPr>
              <w:jc w:val="center"/>
              <w:cnfStyle w:val="100000000000" w:firstRow="1" w:lastRow="0" w:firstColumn="0" w:lastColumn="0" w:oddVBand="0" w:evenVBand="0" w:oddHBand="0" w:evenHBand="0" w:firstRowFirstColumn="0" w:firstRowLastColumn="0" w:lastRowFirstColumn="0" w:lastRowLastColumn="0"/>
              <w:rPr>
                <w:rFonts w:eastAsia="Times New Roman"/>
                <w:b w:val="0"/>
                <w:bCs w:val="0"/>
                <w:kern w:val="24"/>
                <w:sz w:val="20"/>
              </w:rPr>
            </w:pPr>
            <w:r w:rsidRPr="002C0C61">
              <w:rPr>
                <w:rFonts w:eastAsia="Times New Roman"/>
                <w:b w:val="0"/>
                <w:bCs w:val="0"/>
                <w:kern w:val="24"/>
                <w:sz w:val="20"/>
              </w:rPr>
              <w:t>Trajnim Trajnerësh</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1.</w:t>
            </w:r>
          </w:p>
        </w:tc>
        <w:tc>
          <w:tcPr>
            <w:tcW w:w="1775" w:type="dxa"/>
            <w:noWrap/>
          </w:tcPr>
          <w:p w:rsidR="00B348F7" w:rsidRPr="002C0C61" w:rsidRDefault="00B348F7" w:rsidP="00B348F7">
            <w:pPr>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Shtator 2017</w:t>
            </w:r>
          </w:p>
        </w:tc>
        <w:tc>
          <w:tcPr>
            <w:tcW w:w="1172"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c>
          <w:tcPr>
            <w:tcW w:w="2700"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 xml:space="preserve">3 </w:t>
            </w:r>
          </w:p>
        </w:tc>
        <w:tc>
          <w:tcPr>
            <w:tcW w:w="1444"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2.</w:t>
            </w:r>
          </w:p>
        </w:tc>
        <w:tc>
          <w:tcPr>
            <w:tcW w:w="1775" w:type="dxa"/>
            <w:noWrap/>
          </w:tcPr>
          <w:p w:rsidR="00B348F7" w:rsidRPr="002C0C61" w:rsidRDefault="00B348F7" w:rsidP="00B348F7">
            <w:pPr>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Tetor 2017</w:t>
            </w:r>
          </w:p>
        </w:tc>
        <w:tc>
          <w:tcPr>
            <w:tcW w:w="1172"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c>
          <w:tcPr>
            <w:tcW w:w="2700" w:type="dxa"/>
            <w:noWrap/>
          </w:tcPr>
          <w:p w:rsidR="00B348F7" w:rsidRPr="002C0C61" w:rsidRDefault="00B348F7" w:rsidP="00B348F7">
            <w:pPr>
              <w:jc w:val="center"/>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 xml:space="preserve">                                     10</w:t>
            </w:r>
          </w:p>
        </w:tc>
        <w:tc>
          <w:tcPr>
            <w:tcW w:w="1444"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3.</w:t>
            </w:r>
          </w:p>
        </w:tc>
        <w:tc>
          <w:tcPr>
            <w:tcW w:w="1775" w:type="dxa"/>
            <w:noWrap/>
          </w:tcPr>
          <w:p w:rsidR="00B348F7" w:rsidRPr="002C0C61" w:rsidRDefault="00B348F7" w:rsidP="00B348F7">
            <w:pPr>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Nëntor 2017</w:t>
            </w:r>
          </w:p>
        </w:tc>
        <w:tc>
          <w:tcPr>
            <w:tcW w:w="1172"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w:t>
            </w:r>
          </w:p>
        </w:tc>
        <w:tc>
          <w:tcPr>
            <w:tcW w:w="2700"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 xml:space="preserve"> 14</w:t>
            </w:r>
          </w:p>
        </w:tc>
        <w:tc>
          <w:tcPr>
            <w:tcW w:w="1444"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3</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4.</w:t>
            </w:r>
          </w:p>
        </w:tc>
        <w:tc>
          <w:tcPr>
            <w:tcW w:w="1775" w:type="dxa"/>
            <w:noWrap/>
          </w:tcPr>
          <w:p w:rsidR="00B348F7" w:rsidRPr="002C0C61" w:rsidRDefault="00B348F7" w:rsidP="00B348F7">
            <w:pPr>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Dhjetor 2017</w:t>
            </w:r>
          </w:p>
        </w:tc>
        <w:tc>
          <w:tcPr>
            <w:tcW w:w="1172"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13</w:t>
            </w:r>
          </w:p>
        </w:tc>
        <w:tc>
          <w:tcPr>
            <w:tcW w:w="2700"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11</w:t>
            </w:r>
          </w:p>
        </w:tc>
        <w:tc>
          <w:tcPr>
            <w:tcW w:w="1444"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5.</w:t>
            </w:r>
          </w:p>
        </w:tc>
        <w:tc>
          <w:tcPr>
            <w:tcW w:w="1775" w:type="dxa"/>
            <w:noWrap/>
            <w:hideMark/>
          </w:tcPr>
          <w:p w:rsidR="00B348F7" w:rsidRPr="002C0C61" w:rsidRDefault="00B348F7" w:rsidP="00B348F7">
            <w:pPr>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Janar 2018</w:t>
            </w:r>
          </w:p>
        </w:tc>
        <w:tc>
          <w:tcPr>
            <w:tcW w:w="1172"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15</w:t>
            </w:r>
          </w:p>
        </w:tc>
        <w:tc>
          <w:tcPr>
            <w:tcW w:w="2700"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10</w:t>
            </w:r>
          </w:p>
        </w:tc>
        <w:tc>
          <w:tcPr>
            <w:tcW w:w="1444"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6.</w:t>
            </w:r>
          </w:p>
        </w:tc>
        <w:tc>
          <w:tcPr>
            <w:tcW w:w="1775" w:type="dxa"/>
            <w:noWrap/>
            <w:hideMark/>
          </w:tcPr>
          <w:p w:rsidR="00B348F7" w:rsidRPr="002C0C61" w:rsidRDefault="00B348F7" w:rsidP="00B348F7">
            <w:pPr>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Shkurt 2018</w:t>
            </w:r>
          </w:p>
        </w:tc>
        <w:tc>
          <w:tcPr>
            <w:tcW w:w="1172"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17</w:t>
            </w:r>
          </w:p>
        </w:tc>
        <w:tc>
          <w:tcPr>
            <w:tcW w:w="2700"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10</w:t>
            </w:r>
          </w:p>
        </w:tc>
        <w:tc>
          <w:tcPr>
            <w:tcW w:w="1444"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7.</w:t>
            </w:r>
          </w:p>
        </w:tc>
        <w:tc>
          <w:tcPr>
            <w:tcW w:w="1775" w:type="dxa"/>
            <w:noWrap/>
            <w:hideMark/>
          </w:tcPr>
          <w:p w:rsidR="00B348F7" w:rsidRPr="002C0C61" w:rsidRDefault="00B348F7" w:rsidP="00B348F7">
            <w:pPr>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Mars 2018</w:t>
            </w:r>
          </w:p>
        </w:tc>
        <w:tc>
          <w:tcPr>
            <w:tcW w:w="1172"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18</w:t>
            </w:r>
          </w:p>
        </w:tc>
        <w:tc>
          <w:tcPr>
            <w:tcW w:w="2700"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10</w:t>
            </w:r>
          </w:p>
        </w:tc>
        <w:tc>
          <w:tcPr>
            <w:tcW w:w="1444"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8.</w:t>
            </w:r>
          </w:p>
        </w:tc>
        <w:tc>
          <w:tcPr>
            <w:tcW w:w="1775" w:type="dxa"/>
            <w:noWrap/>
            <w:hideMark/>
          </w:tcPr>
          <w:p w:rsidR="00B348F7" w:rsidRPr="002C0C61" w:rsidRDefault="00B348F7" w:rsidP="00B348F7">
            <w:pPr>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Prill 2018</w:t>
            </w:r>
          </w:p>
        </w:tc>
        <w:tc>
          <w:tcPr>
            <w:tcW w:w="1172"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14</w:t>
            </w:r>
          </w:p>
        </w:tc>
        <w:tc>
          <w:tcPr>
            <w:tcW w:w="2700"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3</w:t>
            </w:r>
          </w:p>
        </w:tc>
        <w:tc>
          <w:tcPr>
            <w:tcW w:w="1444"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9.</w:t>
            </w:r>
          </w:p>
        </w:tc>
        <w:tc>
          <w:tcPr>
            <w:tcW w:w="1775" w:type="dxa"/>
            <w:noWrap/>
            <w:hideMark/>
          </w:tcPr>
          <w:p w:rsidR="00B348F7" w:rsidRPr="002C0C61" w:rsidRDefault="00B348F7" w:rsidP="00B348F7">
            <w:pPr>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Maj 2018</w:t>
            </w:r>
          </w:p>
        </w:tc>
        <w:tc>
          <w:tcPr>
            <w:tcW w:w="1172"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17</w:t>
            </w:r>
          </w:p>
        </w:tc>
        <w:tc>
          <w:tcPr>
            <w:tcW w:w="2700"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6</w:t>
            </w:r>
          </w:p>
        </w:tc>
        <w:tc>
          <w:tcPr>
            <w:tcW w:w="1444"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10.</w:t>
            </w:r>
          </w:p>
        </w:tc>
        <w:tc>
          <w:tcPr>
            <w:tcW w:w="1775" w:type="dxa"/>
            <w:noWrap/>
            <w:hideMark/>
          </w:tcPr>
          <w:p w:rsidR="00B348F7" w:rsidRPr="002C0C61" w:rsidRDefault="00B348F7" w:rsidP="00B348F7">
            <w:pPr>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Qershor 2018</w:t>
            </w:r>
          </w:p>
        </w:tc>
        <w:tc>
          <w:tcPr>
            <w:tcW w:w="1172"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22</w:t>
            </w:r>
          </w:p>
        </w:tc>
        <w:tc>
          <w:tcPr>
            <w:tcW w:w="2700"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strike/>
                <w:kern w:val="24"/>
                <w:sz w:val="22"/>
                <w:szCs w:val="22"/>
              </w:rPr>
            </w:pPr>
            <w:r w:rsidRPr="002C0C61">
              <w:rPr>
                <w:rFonts w:eastAsia="Times New Roman"/>
                <w:kern w:val="24"/>
                <w:sz w:val="22"/>
                <w:szCs w:val="22"/>
              </w:rPr>
              <w:t>11</w:t>
            </w:r>
          </w:p>
        </w:tc>
        <w:tc>
          <w:tcPr>
            <w:tcW w:w="1444"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tcPr>
          <w:p w:rsidR="00B348F7" w:rsidRPr="002C0C61" w:rsidRDefault="00B348F7" w:rsidP="00B348F7">
            <w:pPr>
              <w:jc w:val="right"/>
              <w:rPr>
                <w:rFonts w:eastAsia="Times New Roman"/>
                <w:kern w:val="24"/>
                <w:sz w:val="22"/>
                <w:szCs w:val="22"/>
              </w:rPr>
            </w:pPr>
            <w:r w:rsidRPr="002C0C61">
              <w:rPr>
                <w:rFonts w:eastAsia="Times New Roman"/>
                <w:kern w:val="24"/>
                <w:sz w:val="22"/>
                <w:szCs w:val="22"/>
              </w:rPr>
              <w:t>11.</w:t>
            </w:r>
          </w:p>
        </w:tc>
        <w:tc>
          <w:tcPr>
            <w:tcW w:w="1775" w:type="dxa"/>
            <w:noWrap/>
          </w:tcPr>
          <w:p w:rsidR="00B348F7" w:rsidRPr="002C0C61" w:rsidRDefault="00B348F7" w:rsidP="00B348F7">
            <w:pPr>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Korrik 2018</w:t>
            </w:r>
          </w:p>
        </w:tc>
        <w:tc>
          <w:tcPr>
            <w:tcW w:w="1172" w:type="dxa"/>
            <w:noWrap/>
          </w:tcPr>
          <w:p w:rsidR="00B348F7" w:rsidRPr="002C0C61" w:rsidRDefault="00B348F7" w:rsidP="00B348F7">
            <w:pPr>
              <w:jc w:val="center"/>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 xml:space="preserve">             6</w:t>
            </w:r>
          </w:p>
        </w:tc>
        <w:tc>
          <w:tcPr>
            <w:tcW w:w="2700"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2</w:t>
            </w:r>
          </w:p>
        </w:tc>
        <w:tc>
          <w:tcPr>
            <w:tcW w:w="1444" w:type="dxa"/>
            <w:noWrap/>
          </w:tcPr>
          <w:p w:rsidR="00B348F7" w:rsidRPr="002C0C61" w:rsidRDefault="00B348F7" w:rsidP="00B348F7">
            <w:pPr>
              <w:jc w:val="right"/>
              <w:cnfStyle w:val="000000100000" w:firstRow="0" w:lastRow="0" w:firstColumn="0" w:lastColumn="0" w:oddVBand="0" w:evenVBand="0" w:oddHBand="1" w:evenHBand="0" w:firstRowFirstColumn="0" w:firstRowLastColumn="0" w:lastRowFirstColumn="0" w:lastRowLastColumn="0"/>
              <w:rPr>
                <w:rFonts w:eastAsia="Times New Roman"/>
                <w:kern w:val="24"/>
                <w:sz w:val="22"/>
                <w:szCs w:val="22"/>
              </w:rPr>
            </w:pPr>
            <w:r w:rsidRPr="002C0C61">
              <w:rPr>
                <w:rFonts w:eastAsia="Times New Roman"/>
                <w:kern w:val="24"/>
                <w:sz w:val="22"/>
                <w:szCs w:val="22"/>
              </w:rPr>
              <w:t>0</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0" w:type="dxa"/>
            <w:noWrap/>
            <w:hideMark/>
          </w:tcPr>
          <w:p w:rsidR="00B348F7" w:rsidRPr="002C0C61" w:rsidRDefault="00B348F7" w:rsidP="00B348F7">
            <w:pPr>
              <w:rPr>
                <w:rFonts w:eastAsia="Times New Roman"/>
                <w:kern w:val="24"/>
                <w:sz w:val="22"/>
                <w:szCs w:val="22"/>
              </w:rPr>
            </w:pPr>
            <w:r w:rsidRPr="002C0C61">
              <w:rPr>
                <w:rFonts w:eastAsia="Times New Roman"/>
                <w:kern w:val="24"/>
                <w:sz w:val="22"/>
                <w:szCs w:val="22"/>
              </w:rPr>
              <w:t> </w:t>
            </w:r>
          </w:p>
        </w:tc>
        <w:tc>
          <w:tcPr>
            <w:tcW w:w="1775" w:type="dxa"/>
            <w:noWrap/>
            <w:hideMark/>
          </w:tcPr>
          <w:p w:rsidR="00B348F7" w:rsidRPr="002C0C61" w:rsidRDefault="00B348F7" w:rsidP="00B348F7">
            <w:pPr>
              <w:cnfStyle w:val="000000010000" w:firstRow="0" w:lastRow="0" w:firstColumn="0" w:lastColumn="0" w:oddVBand="0" w:evenVBand="0" w:oddHBand="0" w:evenHBand="1" w:firstRowFirstColumn="0" w:firstRowLastColumn="0" w:lastRowFirstColumn="0" w:lastRowLastColumn="0"/>
              <w:rPr>
                <w:rFonts w:eastAsia="Times New Roman"/>
                <w:kern w:val="24"/>
                <w:sz w:val="22"/>
                <w:szCs w:val="22"/>
              </w:rPr>
            </w:pPr>
            <w:r w:rsidRPr="002C0C61">
              <w:rPr>
                <w:rFonts w:eastAsia="Times New Roman"/>
                <w:kern w:val="24"/>
                <w:sz w:val="22"/>
                <w:szCs w:val="22"/>
              </w:rPr>
              <w:t>TOTAL</w:t>
            </w:r>
          </w:p>
        </w:tc>
        <w:tc>
          <w:tcPr>
            <w:tcW w:w="1172"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b/>
                <w:bCs/>
                <w:kern w:val="24"/>
                <w:sz w:val="22"/>
                <w:szCs w:val="22"/>
              </w:rPr>
            </w:pPr>
            <w:r w:rsidRPr="002C0C61">
              <w:rPr>
                <w:rFonts w:eastAsia="Times New Roman"/>
                <w:b/>
                <w:bCs/>
                <w:kern w:val="24"/>
                <w:sz w:val="22"/>
                <w:szCs w:val="22"/>
              </w:rPr>
              <w:t>123</w:t>
            </w:r>
          </w:p>
        </w:tc>
        <w:tc>
          <w:tcPr>
            <w:tcW w:w="2700"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b/>
                <w:bCs/>
                <w:kern w:val="24"/>
                <w:sz w:val="22"/>
                <w:szCs w:val="22"/>
              </w:rPr>
            </w:pPr>
            <w:r w:rsidRPr="002C0C61">
              <w:rPr>
                <w:rFonts w:eastAsia="Times New Roman"/>
                <w:b/>
                <w:bCs/>
                <w:kern w:val="24"/>
                <w:sz w:val="22"/>
                <w:szCs w:val="22"/>
              </w:rPr>
              <w:t>90</w:t>
            </w:r>
          </w:p>
        </w:tc>
        <w:tc>
          <w:tcPr>
            <w:tcW w:w="1444" w:type="dxa"/>
            <w:noWrap/>
          </w:tcPr>
          <w:p w:rsidR="00B348F7" w:rsidRPr="002C0C61" w:rsidRDefault="00B348F7" w:rsidP="00B348F7">
            <w:pPr>
              <w:jc w:val="right"/>
              <w:cnfStyle w:val="000000010000" w:firstRow="0" w:lastRow="0" w:firstColumn="0" w:lastColumn="0" w:oddVBand="0" w:evenVBand="0" w:oddHBand="0" w:evenHBand="1" w:firstRowFirstColumn="0" w:firstRowLastColumn="0" w:lastRowFirstColumn="0" w:lastRowLastColumn="0"/>
              <w:rPr>
                <w:rFonts w:eastAsia="Times New Roman"/>
                <w:b/>
                <w:bCs/>
                <w:kern w:val="24"/>
                <w:sz w:val="22"/>
                <w:szCs w:val="22"/>
              </w:rPr>
            </w:pPr>
            <w:r w:rsidRPr="002C0C61">
              <w:rPr>
                <w:rFonts w:eastAsia="Times New Roman"/>
                <w:b/>
                <w:bCs/>
                <w:kern w:val="24"/>
                <w:sz w:val="22"/>
                <w:szCs w:val="22"/>
              </w:rPr>
              <w:t>3</w:t>
            </w:r>
          </w:p>
        </w:tc>
      </w:tr>
    </w:tbl>
    <w:p w:rsidR="000559B5" w:rsidRDefault="000559B5" w:rsidP="009D3274">
      <w:pPr>
        <w:spacing w:line="276" w:lineRule="auto"/>
        <w:jc w:val="both"/>
        <w:rPr>
          <w:b/>
          <w:color w:val="CC9966" w:themeColor="accent2"/>
          <w:sz w:val="32"/>
        </w:rPr>
      </w:pPr>
    </w:p>
    <w:p w:rsidR="00B348F7" w:rsidRDefault="002478E2" w:rsidP="002478E2">
      <w:pPr>
        <w:spacing w:line="276" w:lineRule="auto"/>
        <w:rPr>
          <w:rFonts w:eastAsia="Calibri"/>
          <w:i/>
          <w:kern w:val="24"/>
          <w:sz w:val="20"/>
        </w:rPr>
      </w:pPr>
      <w:r>
        <w:rPr>
          <w:b/>
          <w:color w:val="CC9966" w:themeColor="accent2"/>
        </w:rPr>
        <w:t xml:space="preserve">                                  </w:t>
      </w:r>
      <w:r w:rsidRPr="002478E2">
        <w:rPr>
          <w:rFonts w:eastAsia="Calibri"/>
          <w:i/>
          <w:kern w:val="24"/>
          <w:sz w:val="20"/>
        </w:rPr>
        <w:t xml:space="preserve"> </w:t>
      </w: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B348F7" w:rsidRDefault="00B348F7" w:rsidP="002478E2">
      <w:pPr>
        <w:spacing w:line="276" w:lineRule="auto"/>
        <w:rPr>
          <w:rFonts w:eastAsia="Calibri"/>
          <w:i/>
          <w:kern w:val="24"/>
          <w:sz w:val="20"/>
        </w:rPr>
      </w:pPr>
    </w:p>
    <w:p w:rsidR="002478E2" w:rsidRPr="002478E2" w:rsidRDefault="00B348F7" w:rsidP="002478E2">
      <w:pPr>
        <w:spacing w:line="276" w:lineRule="auto"/>
        <w:rPr>
          <w:rFonts w:eastAsia="Calibri"/>
          <w:b/>
          <w:kern w:val="24"/>
          <w:sz w:val="20"/>
        </w:rPr>
      </w:pPr>
      <w:r>
        <w:rPr>
          <w:rFonts w:eastAsia="Calibri"/>
          <w:i/>
          <w:kern w:val="24"/>
          <w:sz w:val="20"/>
        </w:rPr>
        <w:t xml:space="preserve">                          </w:t>
      </w:r>
      <w:r w:rsidR="002478E2" w:rsidRPr="002478E2">
        <w:rPr>
          <w:rFonts w:eastAsia="Calibri"/>
          <w:i/>
          <w:kern w:val="24"/>
          <w:sz w:val="20"/>
        </w:rPr>
        <w:t>Tabela nr. 1 Shpërndarja mujore e aktiviteteve për vitin akademik  2017-2018</w:t>
      </w:r>
    </w:p>
    <w:p w:rsidR="002478E2" w:rsidRPr="00EE2DE7" w:rsidRDefault="002478E2" w:rsidP="002478E2">
      <w:pPr>
        <w:spacing w:line="276" w:lineRule="auto"/>
        <w:rPr>
          <w:rFonts w:eastAsia="Calibri"/>
          <w:b/>
          <w:kern w:val="24"/>
        </w:rPr>
      </w:pPr>
      <w:r>
        <w:rPr>
          <w:rFonts w:eastAsia="Calibri"/>
          <w:b/>
          <w:kern w:val="24"/>
        </w:rPr>
        <w:lastRenderedPageBreak/>
        <w:t xml:space="preserve">                      </w:t>
      </w:r>
      <w:r w:rsidRPr="002478E2">
        <w:rPr>
          <w:rFonts w:eastAsia="Calibri"/>
          <w:b/>
          <w:noProof/>
          <w:kern w:val="24"/>
          <w:lang w:eastAsia="en-US"/>
        </w:rPr>
        <w:drawing>
          <wp:inline distT="0" distB="0" distL="0" distR="0">
            <wp:extent cx="5105400" cy="2533650"/>
            <wp:effectExtent l="0" t="0" r="0" b="0"/>
            <wp:docPr id="16"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78E2" w:rsidRPr="002478E2" w:rsidRDefault="002478E2" w:rsidP="002478E2">
      <w:pPr>
        <w:spacing w:line="276" w:lineRule="auto"/>
        <w:jc w:val="center"/>
        <w:rPr>
          <w:rFonts w:eastAsia="Calibri"/>
          <w:i/>
          <w:kern w:val="24"/>
        </w:rPr>
      </w:pPr>
      <w:r w:rsidRPr="002478E2">
        <w:rPr>
          <w:rFonts w:eastAsia="Calibri"/>
          <w:i/>
          <w:kern w:val="24"/>
          <w:sz w:val="20"/>
        </w:rPr>
        <w:t>Grafiku nr. 2 Numri i trajnimeve sipas muajve për vitin akademik  2017-201</w:t>
      </w:r>
      <w:r>
        <w:rPr>
          <w:rFonts w:eastAsia="Calibri"/>
          <w:i/>
          <w:kern w:val="24"/>
          <w:sz w:val="20"/>
        </w:rPr>
        <w:t>8</w:t>
      </w:r>
    </w:p>
    <w:p w:rsidR="002478E2" w:rsidRDefault="002478E2" w:rsidP="009D3274">
      <w:pPr>
        <w:tabs>
          <w:tab w:val="left" w:pos="10260"/>
        </w:tabs>
        <w:jc w:val="both"/>
      </w:pPr>
    </w:p>
    <w:p w:rsidR="002478E2" w:rsidRPr="00EE2DE7" w:rsidRDefault="002478E2" w:rsidP="002478E2">
      <w:pPr>
        <w:spacing w:line="276" w:lineRule="auto"/>
        <w:jc w:val="both"/>
        <w:rPr>
          <w:rFonts w:eastAsia="Calibri"/>
          <w:kern w:val="24"/>
        </w:rPr>
      </w:pPr>
      <w:r w:rsidRPr="00EE2DE7">
        <w:rPr>
          <w:rFonts w:eastAsia="Calibri"/>
          <w:kern w:val="24"/>
        </w:rPr>
        <w:t>Grafiku nr. 2 paraqet në pamje vizuale numrin e trajnimeve në çdo muaj të vitit akademik. Bazuar në tabelën nr. 1 si dhe në grafikun nr. 2, vihet re një mbingarkesë e kalendarit dhe programit gjatë muajve qershor (me 33 aktivitete trajnuese në total), muajit mars (me 28 aktivitete trajnuese në total), muajit shkurt (me 27 aktivitete trajnuese në total). Nisur nga mjediset tepër të limituara të Shkollës, për një pjesë të trajnimeve është përdorur salla e gjyqit imitues; auditori i kandidatëve-magjistratë si edhe jan</w:t>
      </w:r>
      <w:r w:rsidRPr="00EE2DE7">
        <w:rPr>
          <w:rFonts w:eastAsia="MS Mincho"/>
          <w:kern w:val="24"/>
        </w:rPr>
        <w:t>ë</w:t>
      </w:r>
      <w:r w:rsidRPr="00EE2DE7">
        <w:rPr>
          <w:rFonts w:eastAsia="Calibri"/>
          <w:kern w:val="24"/>
        </w:rPr>
        <w:t xml:space="preserve"> marrë salla me qira. Në aktivitetet e mbështetura nga donatorët janë përdorur mjedise jashtë Shkollës. </w:t>
      </w:r>
    </w:p>
    <w:p w:rsidR="002478E2" w:rsidRPr="00EE2DE7" w:rsidRDefault="002478E2" w:rsidP="002478E2">
      <w:pPr>
        <w:spacing w:line="276" w:lineRule="auto"/>
        <w:ind w:firstLine="720"/>
        <w:jc w:val="both"/>
        <w:rPr>
          <w:rFonts w:eastAsia="Calibri"/>
          <w:kern w:val="24"/>
        </w:rPr>
      </w:pPr>
      <w:r w:rsidRPr="00EE2DE7">
        <w:rPr>
          <w:rFonts w:eastAsia="Calibri"/>
          <w:kern w:val="24"/>
        </w:rPr>
        <w:t xml:space="preserve">Përgjithësisht, pjesa më e madhe e temave janë ato që ndodhen në variantin e publikuar të PFV-së, por pavarësisht nga kjo, falë elasticitetit dhe hapësirave që krijon programi dhe kalendari, tema të reja u përfshinë si pjesë integrale e tij, duke iu përgjigjur kërkesave të reja dhe bashkëpunimit me partnerët ndërkombëtarë. </w:t>
      </w:r>
    </w:p>
    <w:p w:rsidR="002478E2" w:rsidRPr="00EE2DE7" w:rsidRDefault="002478E2" w:rsidP="002478E2">
      <w:pPr>
        <w:spacing w:line="276" w:lineRule="auto"/>
        <w:ind w:firstLine="720"/>
        <w:jc w:val="both"/>
        <w:rPr>
          <w:rFonts w:eastAsia="Calibri"/>
          <w:kern w:val="24"/>
        </w:rPr>
      </w:pPr>
      <w:r w:rsidRPr="006055F7">
        <w:rPr>
          <w:rFonts w:eastAsia="Calibri"/>
          <w:kern w:val="24"/>
        </w:rPr>
        <w:t>Grafiku nr. 4 synon të japë në mënyrë të detajuar në shifra dhe përqindje frekuentimin e</w:t>
      </w:r>
      <w:r w:rsidRPr="00EE2DE7">
        <w:rPr>
          <w:rFonts w:eastAsia="Calibri"/>
          <w:kern w:val="24"/>
        </w:rPr>
        <w:t xml:space="preserve"> aktiviteteve </w:t>
      </w:r>
      <w:r w:rsidRPr="005605CB">
        <w:rPr>
          <w:rFonts w:eastAsia="Calibri"/>
          <w:kern w:val="24"/>
        </w:rPr>
        <w:t>trajnuese</w:t>
      </w:r>
      <w:r w:rsidRPr="00EE2DE7">
        <w:rPr>
          <w:rFonts w:eastAsia="Calibri"/>
          <w:kern w:val="24"/>
        </w:rPr>
        <w:t xml:space="preserve"> jo vetëm të gjyqtarëve dhe prokurorëve, por edhe të kategorive të tjera, ku përfshihen: oficerë të policisë gjyqësore, kandidatë për magjistratë, juristë, punonjës të administratës gjyqësore etj. Një informacion më të detajuar në lidhje me fushën e trajnimit, temën specifike, kohën e zhvillimit të aktivitetit, numrin e pjesëmarrësve aplikues dhe të atyre që u pajisën me certifikatë, mund ta gjeni në tabelat anekse që i janë bashkëngjitur këtij raporti.</w:t>
      </w:r>
    </w:p>
    <w:p w:rsidR="002478E2" w:rsidRPr="00EE2DE7" w:rsidRDefault="002478E2" w:rsidP="002478E2">
      <w:pPr>
        <w:spacing w:line="276" w:lineRule="auto"/>
        <w:ind w:firstLine="720"/>
        <w:jc w:val="both"/>
        <w:rPr>
          <w:rFonts w:eastAsia="Calibri"/>
          <w:kern w:val="24"/>
        </w:rPr>
      </w:pPr>
      <w:r w:rsidRPr="00EE2DE7">
        <w:rPr>
          <w:rFonts w:eastAsia="Calibri"/>
          <w:kern w:val="24"/>
        </w:rPr>
        <w:t xml:space="preserve">Programi në përmbajtjen e vet përfshin një tematikë shumë të gjerë dhe të larmishme në pjesën më të madhe të fushave të së drejtës dhe të problematikës praktike, por edhe të proceseve të reformës në sistemin e drejtësisë dhe të proceseve të harmonizimit e të përqasjes, të cilat kërkojnë një reagim në kohë të gjyqtarëve dhe prokurorëve me standardet e BE-së. Ky program i larmishëm tematik nxiti pjesëmarrjen e një numri të konsiderueshëm të gjyqtarëve dhe prokurorëve. Grafikët e paraqitur demonstrojnë në mënyrë statistikore frekuentimin e sesioneve trajnuese të vitit akademik 2017-2018. </w:t>
      </w:r>
    </w:p>
    <w:p w:rsidR="00334CDE" w:rsidRDefault="002478E2" w:rsidP="00334CDE">
      <w:pPr>
        <w:spacing w:line="276" w:lineRule="auto"/>
        <w:ind w:firstLine="720"/>
        <w:jc w:val="both"/>
        <w:rPr>
          <w:rFonts w:eastAsia="Calibri"/>
          <w:kern w:val="24"/>
        </w:rPr>
      </w:pPr>
      <w:r w:rsidRPr="00EE2DE7">
        <w:rPr>
          <w:rFonts w:eastAsia="Calibri"/>
          <w:kern w:val="24"/>
        </w:rPr>
        <w:t xml:space="preserve">Aktiviteti trajnues dhe cilësia e tij janë të lidhura ngushtësisht me cilësinë e ekspertizës. Sa i përket grupit të trajnuesve dhe pozicionit profesional të tyre, për këtë na ndihmon </w:t>
      </w:r>
      <w:r w:rsidRPr="005372E3">
        <w:rPr>
          <w:rFonts w:eastAsia="Calibri"/>
          <w:kern w:val="24"/>
        </w:rPr>
        <w:t>grafiku nr.3.</w:t>
      </w:r>
      <w:r w:rsidRPr="00EE2DE7">
        <w:rPr>
          <w:rFonts w:eastAsia="Calibri"/>
          <w:kern w:val="24"/>
        </w:rPr>
        <w:t xml:space="preserve"> Shkolla e Magjistraturës dhe Këshilli Drejtues ka bërë shumë kujdes që të përzgjedhë në cilësinë e ekspertit</w:t>
      </w:r>
      <w:r w:rsidR="009E7CB9">
        <w:rPr>
          <w:rFonts w:eastAsia="Calibri"/>
          <w:kern w:val="24"/>
        </w:rPr>
        <w:t xml:space="preserve"> </w:t>
      </w:r>
      <w:r w:rsidRPr="00EE2DE7">
        <w:rPr>
          <w:rFonts w:eastAsia="Calibri"/>
          <w:kern w:val="24"/>
        </w:rPr>
        <w:t>profesionistët më në zë të fushave të caktuara, por edhe të pajisur me aftësi pedagogjike që</w:t>
      </w:r>
      <w:r w:rsidR="009E7CB9">
        <w:rPr>
          <w:rFonts w:eastAsia="Calibri"/>
          <w:kern w:val="24"/>
        </w:rPr>
        <w:t xml:space="preserve"> kanë të </w:t>
      </w:r>
      <w:r w:rsidR="009E7CB9" w:rsidRPr="00EE2DE7">
        <w:rPr>
          <w:rFonts w:eastAsia="Calibri"/>
          <w:kern w:val="24"/>
        </w:rPr>
        <w:t>bëjnë me formimin profesional.</w:t>
      </w:r>
    </w:p>
    <w:p w:rsidR="00832378" w:rsidRDefault="009E7CB9" w:rsidP="00334CDE">
      <w:pPr>
        <w:spacing w:line="276" w:lineRule="auto"/>
        <w:ind w:firstLine="720"/>
        <w:jc w:val="both"/>
        <w:rPr>
          <w:rFonts w:eastAsia="Calibri"/>
          <w:kern w:val="24"/>
        </w:rPr>
      </w:pPr>
      <w:r w:rsidRPr="009E7CB9">
        <w:rPr>
          <w:b/>
          <w:noProof/>
          <w:color w:val="CC9966" w:themeColor="accent2"/>
          <w:sz w:val="32"/>
          <w:lang w:eastAsia="en-US"/>
        </w:rPr>
        <w:lastRenderedPageBreak/>
        <w:drawing>
          <wp:anchor distT="0" distB="0" distL="114300" distR="114300" simplePos="0" relativeHeight="251733504" behindDoc="0" locked="0" layoutInCell="1" allowOverlap="1">
            <wp:simplePos x="651510" y="830580"/>
            <wp:positionH relativeFrom="margin">
              <wp:align>left</wp:align>
            </wp:positionH>
            <wp:positionV relativeFrom="margin">
              <wp:align>top</wp:align>
            </wp:positionV>
            <wp:extent cx="4118610" cy="2781300"/>
            <wp:effectExtent l="19050" t="0" r="15240" b="0"/>
            <wp:wrapSquare wrapText="bothSides"/>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9E7CB9" w:rsidRPr="00334CDE" w:rsidRDefault="009E7CB9" w:rsidP="00334CDE">
      <w:pPr>
        <w:spacing w:after="200" w:line="276" w:lineRule="auto"/>
        <w:jc w:val="center"/>
        <w:rPr>
          <w:rFonts w:ascii="Bookman Old Style" w:eastAsia="Calibri" w:hAnsi="Bookman Old Style" w:cs="Calibri"/>
          <w:kern w:val="24"/>
          <w:sz w:val="20"/>
          <w:szCs w:val="23"/>
        </w:rPr>
      </w:pPr>
      <w:r w:rsidRPr="005372E3">
        <w:rPr>
          <w:rFonts w:eastAsia="Calibri"/>
          <w:i/>
          <w:kern w:val="24"/>
          <w:sz w:val="20"/>
        </w:rPr>
        <w:t>Grafiku nr.</w:t>
      </w:r>
      <w:r w:rsidRPr="00334CDE">
        <w:rPr>
          <w:rFonts w:eastAsia="Calibri"/>
          <w:i/>
          <w:kern w:val="24"/>
          <w:sz w:val="20"/>
        </w:rPr>
        <w:t>3  Ekspertët shqiptarë sipas kategorive, viti akademik 2017-2018.</w:t>
      </w:r>
    </w:p>
    <w:p w:rsidR="00334CDE" w:rsidRPr="00EE2DE7" w:rsidRDefault="00334CDE" w:rsidP="00334CDE">
      <w:pPr>
        <w:spacing w:line="276" w:lineRule="auto"/>
        <w:jc w:val="both"/>
        <w:rPr>
          <w:rFonts w:eastAsia="Times New Roman"/>
          <w:kern w:val="24"/>
        </w:rPr>
      </w:pPr>
      <w:r w:rsidRPr="00EE2DE7">
        <w:rPr>
          <w:rFonts w:eastAsia="Calibri"/>
          <w:kern w:val="24"/>
        </w:rPr>
        <w:t xml:space="preserve">Kjo është arsyeja që asnjë kandidat-ekspert nuk caktohet pa marrë mendimin e Këshillit Drejtues. Në vijimësi, Shkolla ka bërë kujdes që të përfshijë në listë ekspertë të rinj krahas atyre me përvojë. </w:t>
      </w:r>
      <w:r w:rsidRPr="00EE2DE7">
        <w:rPr>
          <w:rFonts w:eastAsia="Times New Roman"/>
          <w:kern w:val="24"/>
        </w:rPr>
        <w:t xml:space="preserve">Gjithashtu, një vëmendje dhe kujdes i veçantë i kushtohet edhe përzgjedhjes dhe caktimit të lehtësuesve dhe moderatorëve. Pra, në procesin e Formimit Vazhdues aktivizohen edhe moderatorët, që kujdesen për mbarëvajtjen e aktivitetit trajnues në tërësi, organizimin dhe drejtimin e diskutimeve dhe debateve në seminaret e Trajnimit Vazhdues, interaktivitetin e pjesëmarrësve me njëri-tjetrin dhe të tyre me trajnuesit. Gjithashtu, në aktivitetet e Formimit Vazhdues aktivizohen edhe lehtësuesit, të cilët mbështesin ekspertët për përgatitjen e rasteve praktike dhe të pistave të diskutimit. </w:t>
      </w:r>
    </w:p>
    <w:p w:rsidR="00334CDE" w:rsidRDefault="00334CDE" w:rsidP="00334CDE">
      <w:pPr>
        <w:spacing w:line="276" w:lineRule="auto"/>
        <w:ind w:firstLine="720"/>
        <w:jc w:val="both"/>
        <w:rPr>
          <w:rFonts w:eastAsia="Calibri"/>
          <w:kern w:val="24"/>
        </w:rPr>
      </w:pPr>
      <w:r w:rsidRPr="00EE2DE7">
        <w:rPr>
          <w:rFonts w:eastAsia="Calibri"/>
          <w:kern w:val="24"/>
        </w:rPr>
        <w:t xml:space="preserve">Ndërkohë, i njëjti kujdes është kushtuar edhe në rastin e ekspertizës së huaj, e cila ofrohet dhe mbështetet nga partnerët ndërkombëtarë. Nisur nga kujdesi i vazhdueshëm për të pasur sa më shumë profesionistë të zbatimit të së drejtës dhe dhënies së drejtësisë, vihet re që në grafikun e të dhënave lidhur me ekspertizën këta zënë edhe vendin kryesor. Kështu, rreth </w:t>
      </w:r>
      <w:r w:rsidRPr="00EE2DE7">
        <w:rPr>
          <w:rFonts w:eastAsia="Calibri"/>
          <w:b/>
          <w:kern w:val="24"/>
        </w:rPr>
        <w:t>65% vijnë nga gjyqësori dhe prokuroria</w:t>
      </w:r>
      <w:r w:rsidRPr="00EE2DE7">
        <w:rPr>
          <w:rFonts w:eastAsia="Calibri"/>
          <w:kern w:val="24"/>
        </w:rPr>
        <w:t>. Pjesa tjetër janë avokatë, pedagogë etj. Gjithnjë ka një kombinim të ekspertëve duke qasur standardet teorike me ato praktike.</w:t>
      </w:r>
    </w:p>
    <w:p w:rsidR="00334CDE" w:rsidRDefault="00334CDE" w:rsidP="00334CDE">
      <w:pPr>
        <w:spacing w:line="276" w:lineRule="auto"/>
        <w:ind w:firstLine="720"/>
        <w:jc w:val="both"/>
        <w:rPr>
          <w:rFonts w:eastAsia="Calibri"/>
          <w:kern w:val="24"/>
        </w:rPr>
      </w:pPr>
    </w:p>
    <w:p w:rsidR="00A34172" w:rsidRDefault="00334CDE" w:rsidP="009D3274">
      <w:pPr>
        <w:spacing w:line="276" w:lineRule="auto"/>
        <w:jc w:val="both"/>
        <w:rPr>
          <w:b/>
          <w:color w:val="CC9966" w:themeColor="accent2"/>
          <w:sz w:val="32"/>
        </w:rPr>
      </w:pPr>
      <w:r w:rsidRPr="00334CDE">
        <w:rPr>
          <w:b/>
          <w:color w:val="CC9966" w:themeColor="accent2"/>
          <w:sz w:val="32"/>
        </w:rPr>
        <w:t xml:space="preserve">2.3 Organizimi i sesioneve trajnuese dhe rezultatet </w:t>
      </w:r>
    </w:p>
    <w:p w:rsidR="000559B5" w:rsidRDefault="00A34172" w:rsidP="000559B5">
      <w:pPr>
        <w:spacing w:line="276" w:lineRule="auto"/>
        <w:ind w:firstLine="720"/>
        <w:jc w:val="both"/>
        <w:rPr>
          <w:rFonts w:eastAsia="Calibri"/>
          <w:kern w:val="24"/>
        </w:rPr>
      </w:pPr>
      <w:r w:rsidRPr="00A34172">
        <w:rPr>
          <w:b/>
          <w:color w:val="CC9966" w:themeColor="accent2"/>
          <w:sz w:val="28"/>
        </w:rPr>
        <w:t>2.3.1. Auditori</w:t>
      </w:r>
      <w:r w:rsidR="000559B5" w:rsidRPr="000559B5">
        <w:rPr>
          <w:rFonts w:eastAsia="Calibri"/>
          <w:kern w:val="24"/>
        </w:rPr>
        <w:t xml:space="preserve"> </w:t>
      </w:r>
    </w:p>
    <w:p w:rsidR="000559B5" w:rsidRDefault="000559B5" w:rsidP="000559B5">
      <w:pPr>
        <w:spacing w:line="276" w:lineRule="auto"/>
        <w:ind w:firstLine="720"/>
        <w:jc w:val="both"/>
        <w:rPr>
          <w:rFonts w:eastAsia="Calibri"/>
          <w:kern w:val="24"/>
        </w:rPr>
      </w:pPr>
    </w:p>
    <w:p w:rsidR="000559B5" w:rsidRPr="00EE2DE7" w:rsidRDefault="000559B5" w:rsidP="000559B5">
      <w:pPr>
        <w:spacing w:line="276" w:lineRule="auto"/>
        <w:jc w:val="both"/>
        <w:rPr>
          <w:rFonts w:eastAsia="Calibri"/>
          <w:kern w:val="24"/>
        </w:rPr>
      </w:pPr>
      <w:r w:rsidRPr="00EE2DE7">
        <w:rPr>
          <w:rFonts w:eastAsia="Calibri"/>
          <w:kern w:val="24"/>
        </w:rPr>
        <w:t>Për efekt të këtij raportimi të përvitshëm, disa nga informacionet janë thuajse të njëjta. Kjo sepse disa standarde nuk janë risi dhe për më tepër funksionojnë siç duhet, e disa elemente edhe përmirësohen në vijimësi. Për efekte informimi po e paraqesim edhe në vijim:</w:t>
      </w:r>
    </w:p>
    <w:p w:rsidR="000559B5" w:rsidRPr="00EE2DE7" w:rsidRDefault="000559B5" w:rsidP="005C2687">
      <w:pPr>
        <w:numPr>
          <w:ilvl w:val="0"/>
          <w:numId w:val="31"/>
        </w:numPr>
        <w:spacing w:line="276" w:lineRule="auto"/>
        <w:ind w:left="360"/>
        <w:jc w:val="both"/>
        <w:rPr>
          <w:rFonts w:eastAsia="Calibri"/>
          <w:kern w:val="24"/>
        </w:rPr>
      </w:pPr>
      <w:r w:rsidRPr="00EE2DE7">
        <w:rPr>
          <w:rFonts w:eastAsia="Calibri"/>
          <w:kern w:val="24"/>
        </w:rPr>
        <w:t>Tematika e kalendarit vjetor i dërgohet çdo kryetari gjykate dhe prokurorie në nivel rrethi dhe apeli. Bashkë me të, atyre ju bëhet një rikujtesë e detyrimeve që burojnë nga ligji nr. 115/2016, “</w:t>
      </w:r>
      <w:r w:rsidRPr="00EE2DE7">
        <w:rPr>
          <w:rFonts w:eastAsia="Calibri"/>
          <w:i/>
          <w:kern w:val="24"/>
        </w:rPr>
        <w:t>Për organet e qeverisjes së sistemit të drejtësisë</w:t>
      </w:r>
      <w:r w:rsidRPr="00EE2DE7">
        <w:rPr>
          <w:rFonts w:eastAsia="Calibri"/>
          <w:kern w:val="24"/>
        </w:rPr>
        <w:t>”, si edhe ligjit nr. 96/2016, “</w:t>
      </w:r>
      <w:r w:rsidRPr="00EE2DE7">
        <w:rPr>
          <w:rFonts w:eastAsia="Calibri"/>
          <w:i/>
          <w:kern w:val="24"/>
        </w:rPr>
        <w:t>Për statusin e gjyqtarëve dhe prokurorëve në Republikën e Shqipërisë</w:t>
      </w:r>
      <w:r w:rsidRPr="00EE2DE7">
        <w:rPr>
          <w:rFonts w:eastAsia="Calibri"/>
          <w:kern w:val="24"/>
        </w:rPr>
        <w:t xml:space="preserve">” lidhur me përfshirjen e tyre institucionale në procesin e përzgjedhjes së pjesëmarrësve për PFV-në. </w:t>
      </w:r>
    </w:p>
    <w:p w:rsidR="000559B5" w:rsidRPr="00EE2DE7" w:rsidRDefault="000559B5" w:rsidP="005C2687">
      <w:pPr>
        <w:numPr>
          <w:ilvl w:val="0"/>
          <w:numId w:val="31"/>
        </w:numPr>
        <w:spacing w:line="276" w:lineRule="auto"/>
        <w:ind w:left="360"/>
        <w:jc w:val="both"/>
        <w:rPr>
          <w:rFonts w:eastAsia="Calibri"/>
          <w:kern w:val="24"/>
        </w:rPr>
      </w:pPr>
      <w:r w:rsidRPr="00EE2DE7">
        <w:rPr>
          <w:rFonts w:eastAsia="Calibri"/>
          <w:kern w:val="24"/>
        </w:rPr>
        <w:t>Shoqërimi i sa më sipër me një formular aplikimi për çdo gjyqtar e prokuror të gjykatave dhe prokurorive të rretheve dhe të apeleve. Edhe ky formular me rikujtesën, që të bëjnë kujdes të mos përzgjedhin të njëjtin trajnim dhe të mbajnë parasysh detyrimin e nenit 5 të ligjit nr. 96/2016 lidhur me ditët e trajnimit në vit dhe në 5 vjet.</w:t>
      </w:r>
    </w:p>
    <w:p w:rsidR="000559B5" w:rsidRPr="00EE2DE7" w:rsidRDefault="000559B5" w:rsidP="005C2687">
      <w:pPr>
        <w:numPr>
          <w:ilvl w:val="0"/>
          <w:numId w:val="31"/>
        </w:numPr>
        <w:spacing w:line="276" w:lineRule="auto"/>
        <w:ind w:left="360"/>
        <w:jc w:val="both"/>
        <w:rPr>
          <w:rFonts w:eastAsia="Calibri"/>
          <w:kern w:val="24"/>
        </w:rPr>
      </w:pPr>
      <w:r w:rsidRPr="00EE2DE7">
        <w:rPr>
          <w:rFonts w:eastAsia="Calibri"/>
          <w:kern w:val="24"/>
        </w:rPr>
        <w:lastRenderedPageBreak/>
        <w:t>Formularët me përgjigjet e kurseve të përzgjedhura administrohen nga Shkolla, konkretisht nga Sektori i Formimit Vazhdues dhe hartohen listat e pjesëmarrësve për çdo kurs trajnimi.</w:t>
      </w:r>
    </w:p>
    <w:p w:rsidR="000559B5" w:rsidRPr="00EE2DE7" w:rsidRDefault="000559B5" w:rsidP="005C2687">
      <w:pPr>
        <w:numPr>
          <w:ilvl w:val="0"/>
          <w:numId w:val="31"/>
        </w:numPr>
        <w:spacing w:line="276" w:lineRule="auto"/>
        <w:ind w:left="360"/>
        <w:jc w:val="both"/>
        <w:rPr>
          <w:rFonts w:eastAsia="Calibri"/>
          <w:kern w:val="24"/>
        </w:rPr>
      </w:pPr>
      <w:r w:rsidRPr="00EE2DE7">
        <w:rPr>
          <w:rFonts w:eastAsia="Calibri"/>
          <w:kern w:val="24"/>
        </w:rPr>
        <w:t>Përcaktimi i numrit të sesioneve në varësi të numrit të aplikuesve.</w:t>
      </w:r>
    </w:p>
    <w:p w:rsidR="000559B5" w:rsidRPr="00EE2DE7" w:rsidRDefault="000559B5" w:rsidP="005C2687">
      <w:pPr>
        <w:numPr>
          <w:ilvl w:val="0"/>
          <w:numId w:val="31"/>
        </w:numPr>
        <w:spacing w:line="276" w:lineRule="auto"/>
        <w:ind w:left="360"/>
        <w:jc w:val="both"/>
        <w:rPr>
          <w:rFonts w:eastAsia="Calibri"/>
          <w:kern w:val="24"/>
        </w:rPr>
      </w:pPr>
      <w:r w:rsidRPr="00EE2DE7">
        <w:rPr>
          <w:rFonts w:eastAsia="Calibri"/>
          <w:kern w:val="24"/>
        </w:rPr>
        <w:t>Dërgimi i listave për çdo sesion për miratim nga KLGJ-ja për gjyqtarët dhe KLP-ja për prokurorët dhe miratimi i tyre.</w:t>
      </w:r>
    </w:p>
    <w:p w:rsidR="000559B5" w:rsidRPr="00EE2DE7" w:rsidRDefault="000559B5" w:rsidP="000559B5">
      <w:pPr>
        <w:spacing w:line="276" w:lineRule="auto"/>
        <w:ind w:firstLine="720"/>
        <w:jc w:val="both"/>
        <w:rPr>
          <w:rFonts w:eastAsia="Calibri"/>
          <w:kern w:val="24"/>
        </w:rPr>
      </w:pPr>
      <w:r w:rsidRPr="00EE2DE7">
        <w:rPr>
          <w:rFonts w:eastAsia="Calibri"/>
          <w:kern w:val="24"/>
        </w:rPr>
        <w:t>N</w:t>
      </w:r>
      <w:r w:rsidRPr="00EE2DE7">
        <w:rPr>
          <w:rFonts w:eastAsia="MS Mincho"/>
          <w:kern w:val="24"/>
        </w:rPr>
        <w:t>ë shumicën e rasteve</w:t>
      </w:r>
      <w:r w:rsidRPr="00EE2DE7">
        <w:rPr>
          <w:rFonts w:eastAsia="Calibri"/>
          <w:kern w:val="24"/>
        </w:rPr>
        <w:t xml:space="preserve"> aktivitetet trajnuese zhvillohen pranë mjediseve të Shkollës së Magjistraturës, por ka raste që është i domosdosh</w:t>
      </w:r>
      <w:r w:rsidRPr="00EE2DE7">
        <w:rPr>
          <w:rFonts w:eastAsia="MS Mincho"/>
          <w:kern w:val="24"/>
        </w:rPr>
        <w:t>ëm</w:t>
      </w:r>
      <w:r w:rsidRPr="00EE2DE7">
        <w:rPr>
          <w:rFonts w:eastAsia="Calibri"/>
          <w:kern w:val="24"/>
        </w:rPr>
        <w:t xml:space="preserve"> organizimi i sesioneve trajnuese jashtë saj, në rastet kur: a) në të njëjtën ditë ka më tepër se dy aktivitete trajnuese; b) për shkak të përbërjes së auditorit, lind nevoja e zhvillimit të aktiviteteve trajnuese rajonale; c) mbështeten financiarisht nga donatorët. </w:t>
      </w:r>
    </w:p>
    <w:p w:rsidR="000559B5" w:rsidRPr="00EE2DE7" w:rsidRDefault="000559B5" w:rsidP="000559B5">
      <w:pPr>
        <w:spacing w:line="276" w:lineRule="auto"/>
        <w:ind w:firstLine="720"/>
        <w:jc w:val="both"/>
        <w:rPr>
          <w:rFonts w:eastAsia="Calibri"/>
          <w:kern w:val="24"/>
        </w:rPr>
      </w:pPr>
      <w:r w:rsidRPr="00EE2DE7">
        <w:rPr>
          <w:rFonts w:eastAsia="Calibri"/>
          <w:kern w:val="24"/>
        </w:rPr>
        <w:t xml:space="preserve">Në këtë mënyrë, çdo aktivitet trajnues kërkon një bashkëpunim të ngushtë me çdo gjykatë dhe prokurori, përmes kryetarëve/drejtuesve të tyre. Ndërkohë, vetë Shkolla është në gjendje të vlerësojë nevojat e sistemit në tërësi, sipas veçorive të fluksit të çështjeve në çdo gjykatë dhe prokurori, nisur nga specifikat edhe rajonale. </w:t>
      </w:r>
    </w:p>
    <w:p w:rsidR="000559B5" w:rsidRPr="00EE2DE7" w:rsidRDefault="000559B5" w:rsidP="000559B5">
      <w:pPr>
        <w:spacing w:line="276" w:lineRule="auto"/>
        <w:ind w:firstLine="720"/>
        <w:jc w:val="both"/>
        <w:rPr>
          <w:rFonts w:eastAsia="Calibri"/>
          <w:kern w:val="24"/>
        </w:rPr>
      </w:pPr>
      <w:r w:rsidRPr="00EE2DE7">
        <w:rPr>
          <w:rFonts w:eastAsia="Calibri"/>
          <w:kern w:val="24"/>
        </w:rPr>
        <w:t>Në bazë të ligjit nr. 115/2016, “</w:t>
      </w:r>
      <w:r w:rsidRPr="00EE2DE7">
        <w:rPr>
          <w:rFonts w:eastAsia="Calibri"/>
          <w:i/>
          <w:kern w:val="24"/>
        </w:rPr>
        <w:t>Për organet e qeverisjes së sistemit të drejtësisë</w:t>
      </w:r>
      <w:r w:rsidRPr="00EE2DE7">
        <w:rPr>
          <w:rFonts w:eastAsia="Calibri"/>
          <w:kern w:val="24"/>
        </w:rPr>
        <w:t>” dhe ligjit nr. 96/2016, “</w:t>
      </w:r>
      <w:r w:rsidRPr="00EE2DE7">
        <w:rPr>
          <w:rFonts w:eastAsia="Calibri"/>
          <w:i/>
          <w:kern w:val="24"/>
        </w:rPr>
        <w:t>Për statusin e gjyqtarëve dhe prokurorëve në Republikën e Shqipërisë</w:t>
      </w:r>
      <w:r w:rsidRPr="00EE2DE7">
        <w:rPr>
          <w:rFonts w:eastAsia="Calibri"/>
          <w:kern w:val="24"/>
        </w:rPr>
        <w:t>”, kryetarët e gjykatave dhe drejtuesit e prokurorive, ashtu sikundër edhe Këshilli i Lartë Gjyqësor dhe Këshilli i Lartë i Prokurorisë, kanë detyrimin ligjor për të shprehur mendimin e tyre në lidhje me Programin e Formimit Vazhdues. Dhënia e një mendimi të tillë do të ndikonte pozitivisht në tërë procesin e organizimit të sesioneve trajnuese, duke shmangur zvarritjet, shpenzimet dhe duke rritur efektivitetin e këtyre trajnimeve. Kryetarët e gjykatave dhe drejtuesit e prokurorive, duke qenë në kontakt të vazhdueshëm me problematikat e përditshme të drejtësisë (gjyqësor/prokurori), do të krijonin një “urë lidhëse” me Shkollën e Magjistraturës, në funksion të rritjes së efektivitetit të formimit vazhdues të gjyqtarëve dhe të prokurorëve. Në këtë vështrim, Shkolla do të jetë në gjendje të vlerësojë drejt nevojat për trajnim të sistemit në tërësi, duke u fokusuar në ato çështje, që paraqesin problematikat më komplekse në praktikën gjyqësore. Mund të themi, që ky bashkëpunim, ka nevojë të përmirësohet. Në disa takime rajonale me gjykatat e rrethit dhe t</w:t>
      </w:r>
      <w:r w:rsidRPr="00EE2DE7">
        <w:rPr>
          <w:rFonts w:eastAsia="MS Mincho"/>
          <w:kern w:val="24"/>
        </w:rPr>
        <w:t xml:space="preserve">ë </w:t>
      </w:r>
      <w:r w:rsidRPr="00EE2DE7">
        <w:rPr>
          <w:rFonts w:eastAsia="Calibri"/>
          <w:kern w:val="24"/>
        </w:rPr>
        <w:t xml:space="preserve">apelit të zhvilluara gjatë muajit dhjetor, u vlerësua se kjo mënyrë komunikimi është e nevojshme dhe kapërcen informacionet e marra mbi nevojat vetëm përmes mënyrës virtuale, e cila është e rëndësishme të programohet dhe të ketë mbështetjen e duhur financiare. Është shumë e rëndësishme që të gjithë ta ndiejnë trajnimin si një të drejtë, por edhe detyrim, ku secili duhet të japë kontributin e vet. </w:t>
      </w:r>
    </w:p>
    <w:p w:rsidR="000559B5" w:rsidRPr="00EE2DE7" w:rsidRDefault="000559B5" w:rsidP="000559B5">
      <w:pPr>
        <w:spacing w:line="276" w:lineRule="auto"/>
        <w:ind w:firstLine="720"/>
        <w:jc w:val="both"/>
        <w:rPr>
          <w:rFonts w:eastAsia="Calibri"/>
          <w:kern w:val="24"/>
        </w:rPr>
      </w:pPr>
      <w:r w:rsidRPr="00EE2DE7">
        <w:rPr>
          <w:rFonts w:eastAsia="Calibri"/>
          <w:kern w:val="24"/>
        </w:rPr>
        <w:t>Programi, konsiston në ballafaqimin dhe shpërndarjen e eksperiencave sipas niveleve dhe perceptimeve lokale dhe rajonale të ndryshme. Shkolla ka bërë kujdes të veçantë në përfshirjen në listat e aplikuesve të një lloj shpërndarjeje edhe gjeografike të pjesëmarrësve. Herë pas here, organizimi i sesioneve me pjesëmarrës mbi bazë apelesh është bërë i mundshëm. Ndërkohë, ka sesione, të cilat kanë qenë të kombinuara në pjesëmarrje si edhe sesione të modeluara vetëm për gjyqtarë ose vetëm për prokurorë.</w:t>
      </w:r>
    </w:p>
    <w:p w:rsidR="000559B5" w:rsidRPr="00EE2DE7" w:rsidRDefault="000559B5" w:rsidP="000559B5">
      <w:pPr>
        <w:spacing w:line="276" w:lineRule="auto"/>
        <w:ind w:firstLine="720"/>
        <w:jc w:val="both"/>
        <w:rPr>
          <w:rFonts w:eastAsia="Calibri"/>
          <w:kern w:val="24"/>
        </w:rPr>
      </w:pPr>
      <w:r w:rsidRPr="00EE2DE7">
        <w:rPr>
          <w:rFonts w:eastAsia="Calibri"/>
          <w:kern w:val="24"/>
        </w:rPr>
        <w:t xml:space="preserve">Shkolla e Magjistraturës ka bërë kujdes që të pasurojë auditorin e trajnimeve me aktorë të tjerë të sistemit të drejtësisë, si: inspektorë të KLD-së, oficerë të policisë gjyqësore etj., por duke pasur në qendër të vëmendjes grupin për të cilin ka detyrë të hartojë programe trajnuese. </w:t>
      </w:r>
    </w:p>
    <w:p w:rsidR="00A34172" w:rsidRDefault="00A34172" w:rsidP="00A34172">
      <w:pPr>
        <w:spacing w:line="276" w:lineRule="auto"/>
        <w:contextualSpacing/>
        <w:rPr>
          <w:b/>
          <w:color w:val="CC9966" w:themeColor="accent2"/>
          <w:sz w:val="28"/>
        </w:rPr>
      </w:pPr>
    </w:p>
    <w:p w:rsidR="000559B5" w:rsidRPr="00EE2DE7" w:rsidRDefault="000559B5" w:rsidP="000559B5">
      <w:pPr>
        <w:spacing w:line="276" w:lineRule="auto"/>
        <w:jc w:val="both"/>
        <w:rPr>
          <w:rFonts w:ascii="Calibri" w:eastAsia="Calibri" w:hAnsi="Calibri"/>
          <w:i/>
          <w:kern w:val="24"/>
          <w:sz w:val="23"/>
          <w:szCs w:val="23"/>
        </w:rPr>
      </w:pPr>
    </w:p>
    <w:p w:rsidR="000559B5" w:rsidRPr="000559B5" w:rsidRDefault="000559B5" w:rsidP="000559B5">
      <w:pPr>
        <w:spacing w:line="276" w:lineRule="auto"/>
        <w:ind w:firstLine="720"/>
        <w:jc w:val="both"/>
        <w:rPr>
          <w:b/>
          <w:color w:val="CC9966" w:themeColor="accent2"/>
          <w:sz w:val="28"/>
        </w:rPr>
      </w:pPr>
      <w:r w:rsidRPr="000559B5">
        <w:rPr>
          <w:b/>
          <w:color w:val="CC9966" w:themeColor="accent2"/>
          <w:sz w:val="28"/>
        </w:rPr>
        <w:lastRenderedPageBreak/>
        <w:t>2.3.2 Pajisja me certifikatë dhe frekuentimi</w:t>
      </w:r>
    </w:p>
    <w:p w:rsidR="000559B5" w:rsidRDefault="000559B5" w:rsidP="00A34172">
      <w:pPr>
        <w:spacing w:line="276" w:lineRule="auto"/>
        <w:contextualSpacing/>
        <w:rPr>
          <w:b/>
          <w:color w:val="CC9966" w:themeColor="accent2"/>
          <w:sz w:val="28"/>
        </w:rPr>
      </w:pPr>
    </w:p>
    <w:p w:rsidR="000559B5" w:rsidRDefault="000559B5" w:rsidP="000559B5">
      <w:pPr>
        <w:spacing w:line="276" w:lineRule="auto"/>
        <w:ind w:firstLine="720"/>
        <w:jc w:val="both"/>
        <w:rPr>
          <w:rFonts w:eastAsia="Calibri"/>
          <w:kern w:val="24"/>
        </w:rPr>
      </w:pPr>
      <w:r w:rsidRPr="00EE2DE7">
        <w:rPr>
          <w:rFonts w:eastAsia="Calibri"/>
          <w:bCs/>
          <w:kern w:val="24"/>
        </w:rPr>
        <w:t>Në bazë të nenit 272, pika 5 të ligjit nr. 115/2016, “</w:t>
      </w:r>
      <w:r w:rsidRPr="00EE2DE7">
        <w:rPr>
          <w:rFonts w:eastAsia="Calibri"/>
          <w:bCs/>
          <w:i/>
          <w:kern w:val="24"/>
        </w:rPr>
        <w:t>Për organet e qeverisjes së sistemit të drejtësisë</w:t>
      </w:r>
      <w:r w:rsidRPr="00EE2DE7">
        <w:rPr>
          <w:rFonts w:eastAsia="Calibri"/>
          <w:bCs/>
          <w:kern w:val="24"/>
        </w:rPr>
        <w:t>”, g</w:t>
      </w:r>
      <w:r w:rsidRPr="00EE2DE7">
        <w:rPr>
          <w:rFonts w:eastAsia="Calibri"/>
          <w:kern w:val="24"/>
        </w:rPr>
        <w:t>jyqtarët dhe prokurorët që marrin pjesë në Formimin Vazhdues, pajisen me certifikatë, të lëshuar nga Drejtori i Shkollës. Një kopje e certifikatës vendoset në dosjen personale të gjyqtarëve dhe prokurorëve.</w:t>
      </w:r>
    </w:p>
    <w:p w:rsidR="008128BC" w:rsidRPr="00EE2DE7" w:rsidRDefault="008128BC" w:rsidP="000559B5">
      <w:pPr>
        <w:spacing w:line="276" w:lineRule="auto"/>
        <w:ind w:firstLine="720"/>
        <w:jc w:val="both"/>
        <w:rPr>
          <w:rFonts w:eastAsia="Calibri"/>
          <w:kern w:val="24"/>
        </w:rPr>
      </w:pPr>
    </w:p>
    <w:p w:rsidR="000559B5" w:rsidRDefault="008128BC" w:rsidP="00A34172">
      <w:pPr>
        <w:spacing w:line="276" w:lineRule="auto"/>
        <w:contextualSpacing/>
        <w:rPr>
          <w:b/>
          <w:color w:val="CC9966" w:themeColor="accent2"/>
          <w:sz w:val="28"/>
        </w:rPr>
      </w:pPr>
      <w:r>
        <w:rPr>
          <w:b/>
          <w:color w:val="CC9966" w:themeColor="accent2"/>
          <w:sz w:val="28"/>
        </w:rPr>
        <w:t xml:space="preserve">         </w:t>
      </w:r>
      <w:r w:rsidR="000559B5" w:rsidRPr="000559B5">
        <w:rPr>
          <w:b/>
          <w:noProof/>
          <w:color w:val="CC9966" w:themeColor="accent2"/>
          <w:sz w:val="28"/>
          <w:lang w:eastAsia="en-US"/>
        </w:rPr>
        <w:drawing>
          <wp:inline distT="0" distB="0" distL="0" distR="0">
            <wp:extent cx="5486400" cy="2491740"/>
            <wp:effectExtent l="19050" t="0" r="1905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28BC" w:rsidRPr="008128BC" w:rsidRDefault="008128BC" w:rsidP="008128BC">
      <w:pPr>
        <w:spacing w:line="276" w:lineRule="auto"/>
        <w:jc w:val="center"/>
        <w:rPr>
          <w:rFonts w:eastAsia="Calibri"/>
          <w:i/>
          <w:kern w:val="24"/>
          <w:sz w:val="20"/>
        </w:rPr>
      </w:pPr>
      <w:r>
        <w:rPr>
          <w:rFonts w:eastAsia="Calibri"/>
          <w:i/>
          <w:kern w:val="24"/>
          <w:sz w:val="20"/>
        </w:rPr>
        <w:t xml:space="preserve"> </w:t>
      </w:r>
      <w:r w:rsidRPr="008128BC">
        <w:rPr>
          <w:rFonts w:eastAsia="Calibri"/>
          <w:i/>
          <w:kern w:val="24"/>
          <w:sz w:val="20"/>
        </w:rPr>
        <w:t>Grafiku nr. 4 Pjesëmarrja sipas kategorive në aktivitetet për vitin 2017-2018.</w:t>
      </w:r>
    </w:p>
    <w:p w:rsidR="008128BC" w:rsidRDefault="008128BC" w:rsidP="008128BC">
      <w:pPr>
        <w:spacing w:line="276" w:lineRule="auto"/>
        <w:ind w:firstLine="720"/>
        <w:jc w:val="both"/>
        <w:rPr>
          <w:rFonts w:eastAsia="Calibri"/>
          <w:kern w:val="24"/>
        </w:rPr>
      </w:pPr>
    </w:p>
    <w:p w:rsidR="008128BC" w:rsidRPr="00EE2DE7" w:rsidRDefault="008128BC" w:rsidP="008128BC">
      <w:pPr>
        <w:spacing w:line="276" w:lineRule="auto"/>
        <w:jc w:val="both"/>
        <w:rPr>
          <w:rFonts w:eastAsia="Calibri"/>
          <w:kern w:val="24"/>
        </w:rPr>
      </w:pPr>
      <w:r w:rsidRPr="00EE2DE7">
        <w:rPr>
          <w:rFonts w:eastAsia="Calibri"/>
          <w:kern w:val="24"/>
        </w:rPr>
        <w:t>Gjyqtarët, prokurorët, oficerët e policisë gjyqësore, si dhe kategori të tjera, që morën pjesë në aktivitetet trajnuese të Programit të Formimit Vazhdues gjatë vitit akademik 2017-2018, në mbarim të tyre u pajisën me certifikatë të posaçme të lëshuar nga Drejtori i Shkollës së Magjistraturës. Certifikata është pjesë e dosjes së gjyqtarit dhe prokurorit, që dëshmon për kualifikimin e tij, pasi ka ndjekur me rigorozitet të gjitha sesionet e aktivitetit trajnues ku ka marr</w:t>
      </w:r>
      <w:r w:rsidRPr="00EE2DE7">
        <w:rPr>
          <w:rFonts w:eastAsia="MS Mincho"/>
          <w:kern w:val="24"/>
        </w:rPr>
        <w:t>ë pjesë</w:t>
      </w:r>
      <w:r w:rsidRPr="00EE2DE7">
        <w:rPr>
          <w:rFonts w:eastAsia="Calibri"/>
          <w:kern w:val="24"/>
        </w:rPr>
        <w:t xml:space="preserve">. </w:t>
      </w:r>
    </w:p>
    <w:p w:rsidR="008128BC" w:rsidRPr="00EE2DE7" w:rsidRDefault="008128BC" w:rsidP="008128BC">
      <w:pPr>
        <w:spacing w:line="276" w:lineRule="auto"/>
        <w:ind w:firstLine="720"/>
        <w:jc w:val="both"/>
        <w:rPr>
          <w:rFonts w:eastAsia="Calibri"/>
          <w:kern w:val="24"/>
        </w:rPr>
      </w:pPr>
      <w:r w:rsidRPr="00EE2DE7">
        <w:rPr>
          <w:rFonts w:eastAsia="Calibri"/>
          <w:kern w:val="24"/>
        </w:rPr>
        <w:t xml:space="preserve">Vetëm pas një frekuentimi të plotë të sesioneve trajnuese (listat për pjesëmarrje janë të përbëra nga sesioni i paradites dhe i pasdites, ku çdo pjesëmarrës është i detyruar që të firmosë prezencën e tij për të vërtetuar ndjekjen në mënyrë të vazhdueshme të aktivitetit në të gjitha sesionet e tij, në rast të kundërt nuk certifikohet), kemi realizuar pajisjen me certifikatë. Kështu, komponenti i frekuentimit është ndjekur me prioritet nga sekretaria shkencore e Formimit Vazhdues, e cila ka mbajtur rekorde të sakta lidhur me këtë çështje. Nuk janë të rralla rastet </w:t>
      </w:r>
      <w:r>
        <w:rPr>
          <w:rFonts w:eastAsia="Calibri"/>
          <w:kern w:val="24"/>
        </w:rPr>
        <w:t>kur</w:t>
      </w:r>
      <w:r w:rsidRPr="00EE2DE7">
        <w:rPr>
          <w:rFonts w:eastAsia="Calibri"/>
          <w:kern w:val="24"/>
        </w:rPr>
        <w:t xml:space="preserve"> frekuentimi ka qenë i ulët, por gjatë vitit akademik 2017-2018 jemi përpjekur që këtë aspekt të trajnimeve ta përmirësojmë dukshëm. Në mënyrë sistematike, Shkolla ka raportuar raste shqetësuese në instancat respektive</w:t>
      </w:r>
      <w:r w:rsidRPr="001D2FF6">
        <w:rPr>
          <w:rFonts w:eastAsia="Calibri"/>
          <w:kern w:val="24"/>
        </w:rPr>
        <w:t xml:space="preserve"> </w:t>
      </w:r>
      <w:r w:rsidRPr="00EE2DE7">
        <w:rPr>
          <w:rFonts w:eastAsia="Calibri"/>
          <w:kern w:val="24"/>
        </w:rPr>
        <w:t xml:space="preserve">për sa më sipër. Por, duhet </w:t>
      </w:r>
      <w:r>
        <w:rPr>
          <w:rFonts w:eastAsia="Calibri"/>
          <w:kern w:val="24"/>
        </w:rPr>
        <w:t>vënë në dukje</w:t>
      </w:r>
      <w:r w:rsidRPr="00EE2DE7">
        <w:rPr>
          <w:rFonts w:eastAsia="Calibri"/>
          <w:kern w:val="24"/>
        </w:rPr>
        <w:t xml:space="preserve"> fakti se, gjatë vitit të fundit nuk kemi pasur raste shqetësuese apo problematika se</w:t>
      </w:r>
      <w:r>
        <w:rPr>
          <w:rFonts w:eastAsia="Calibri"/>
          <w:kern w:val="24"/>
        </w:rPr>
        <w:t>rioze, kjo edhe për shkak të</w:t>
      </w:r>
      <w:r w:rsidRPr="00EE2DE7">
        <w:rPr>
          <w:rFonts w:eastAsia="Calibri"/>
          <w:kern w:val="24"/>
        </w:rPr>
        <w:t xml:space="preserve"> bashkëpunimi</w:t>
      </w:r>
      <w:r>
        <w:rPr>
          <w:rFonts w:eastAsia="Calibri"/>
          <w:kern w:val="24"/>
        </w:rPr>
        <w:t>t</w:t>
      </w:r>
      <w:r w:rsidRPr="00EE2DE7">
        <w:rPr>
          <w:rFonts w:eastAsia="Calibri"/>
          <w:kern w:val="24"/>
        </w:rPr>
        <w:t xml:space="preserve"> më të ngushtë me auditorin pjesëmarrës nëpër sesionet trajnuese </w:t>
      </w:r>
      <w:r>
        <w:rPr>
          <w:rFonts w:eastAsia="Calibri"/>
          <w:kern w:val="24"/>
        </w:rPr>
        <w:t>që kemi zhvilluar</w:t>
      </w:r>
      <w:r w:rsidRPr="00EE2DE7">
        <w:rPr>
          <w:rFonts w:eastAsia="Calibri"/>
          <w:kern w:val="24"/>
        </w:rPr>
        <w:t>. Nga eksperienca e vitit që lamë pas, vërejmë se sistemi i dokumentimit të prezencës së pjesëmarrësve në të gjitha sesionet e aktiviteteve të Programit të Formimit Vazhdues është perfeksionuar, megjitha</w:t>
      </w:r>
      <w:r>
        <w:rPr>
          <w:rFonts w:eastAsia="Calibri"/>
          <w:kern w:val="24"/>
        </w:rPr>
        <w:t>të në këtë aspekt ende ka nevojë për</w:t>
      </w:r>
      <w:r w:rsidRPr="00EE2DE7">
        <w:rPr>
          <w:rFonts w:eastAsia="Calibri"/>
          <w:kern w:val="24"/>
        </w:rPr>
        <w:t xml:space="preserve"> përmirësime. Të njëjtën gjë, mund të themi edhe për sistemin e certifikimit. Është ndjekur pothuajse frekuentimi i çdo pjesëmarrësi dhe mbi këtë bazë është bërë edhe certifikimi. I është dhënë vëmendje maksimale saktësisë së rekordeve që mbahen në sekretarinë shkencore në lidhje me </w:t>
      </w:r>
      <w:r w:rsidRPr="00EE2DE7">
        <w:rPr>
          <w:rFonts w:eastAsia="Calibri"/>
          <w:kern w:val="24"/>
        </w:rPr>
        <w:lastRenderedPageBreak/>
        <w:t>frekuentimin dhe certifikimin e pjesëmarrësve. Kemi treguar rigorozitet dhe përgjegjshmëri të lartë në lëshimin e certifikatave në fund të secilit aktivitet trajnues, duke respektuar procedurën që ndjek institucioni ynë për pajisjen me certifikatë pjesëmarrjeje.</w:t>
      </w:r>
    </w:p>
    <w:p w:rsidR="008128BC" w:rsidRPr="00EE2DE7" w:rsidRDefault="008128BC" w:rsidP="008128BC">
      <w:pPr>
        <w:spacing w:line="276" w:lineRule="auto"/>
        <w:ind w:firstLine="720"/>
        <w:jc w:val="both"/>
        <w:rPr>
          <w:rFonts w:eastAsia="Calibri"/>
          <w:kern w:val="24"/>
        </w:rPr>
      </w:pPr>
      <w:r w:rsidRPr="00EE2DE7">
        <w:rPr>
          <w:rFonts w:eastAsia="Calibri"/>
          <w:kern w:val="24"/>
        </w:rPr>
        <w:t>Dy problematikat që janë shfaqur më dukshëm në lidhje me Programin e Formimit Vazhdues të gjyqtarëve dhe prokurorëve</w:t>
      </w:r>
      <w:r w:rsidRPr="001D2FF6">
        <w:rPr>
          <w:rFonts w:eastAsia="Calibri"/>
          <w:kern w:val="24"/>
        </w:rPr>
        <w:t xml:space="preserve"> </w:t>
      </w:r>
      <w:r w:rsidRPr="00EE2DE7">
        <w:rPr>
          <w:rFonts w:eastAsia="Calibri"/>
          <w:kern w:val="24"/>
        </w:rPr>
        <w:t xml:space="preserve">janë: </w:t>
      </w:r>
    </w:p>
    <w:p w:rsidR="008128BC" w:rsidRPr="00EE2DE7" w:rsidRDefault="008128BC" w:rsidP="005C2687">
      <w:pPr>
        <w:numPr>
          <w:ilvl w:val="0"/>
          <w:numId w:val="32"/>
        </w:numPr>
        <w:spacing w:line="276" w:lineRule="auto"/>
        <w:rPr>
          <w:rFonts w:eastAsia="Calibri"/>
          <w:kern w:val="24"/>
        </w:rPr>
      </w:pPr>
      <w:r w:rsidRPr="00EE2DE7">
        <w:rPr>
          <w:rFonts w:eastAsia="Calibri"/>
          <w:kern w:val="24"/>
        </w:rPr>
        <w:t xml:space="preserve">pjesëmarrja/frekuentimi i sesioneve trajnuese dhe </w:t>
      </w:r>
    </w:p>
    <w:p w:rsidR="008128BC" w:rsidRPr="00EE2DE7" w:rsidRDefault="008128BC" w:rsidP="005C2687">
      <w:pPr>
        <w:numPr>
          <w:ilvl w:val="0"/>
          <w:numId w:val="32"/>
        </w:numPr>
        <w:spacing w:line="276" w:lineRule="auto"/>
        <w:rPr>
          <w:rFonts w:eastAsia="Calibri"/>
          <w:kern w:val="24"/>
        </w:rPr>
      </w:pPr>
      <w:r w:rsidRPr="00EE2DE7">
        <w:rPr>
          <w:rFonts w:eastAsia="Calibri"/>
          <w:kern w:val="24"/>
        </w:rPr>
        <w:t xml:space="preserve">përzgjedhja e ekspertëve vendas. </w:t>
      </w:r>
    </w:p>
    <w:p w:rsidR="008128BC" w:rsidRPr="00EE2DE7" w:rsidRDefault="008128BC" w:rsidP="008128BC">
      <w:pPr>
        <w:spacing w:line="276" w:lineRule="auto"/>
        <w:ind w:firstLine="720"/>
        <w:jc w:val="both"/>
        <w:rPr>
          <w:rFonts w:eastAsia="Calibri"/>
          <w:kern w:val="24"/>
        </w:rPr>
      </w:pPr>
      <w:r w:rsidRPr="00EE2DE7">
        <w:rPr>
          <w:rFonts w:eastAsia="Calibri"/>
          <w:kern w:val="24"/>
        </w:rPr>
        <w:t>Shkolla e Magjistraturës</w:t>
      </w:r>
      <w:r>
        <w:rPr>
          <w:rFonts w:eastAsia="Calibri"/>
          <w:kern w:val="24"/>
        </w:rPr>
        <w:t>,</w:t>
      </w:r>
      <w:r w:rsidRPr="00EE2DE7">
        <w:rPr>
          <w:rFonts w:eastAsia="Calibri"/>
          <w:kern w:val="24"/>
        </w:rPr>
        <w:t xml:space="preserve"> </w:t>
      </w:r>
      <w:r>
        <w:rPr>
          <w:rFonts w:eastAsia="Calibri"/>
          <w:kern w:val="24"/>
        </w:rPr>
        <w:t>n</w:t>
      </w:r>
      <w:r w:rsidRPr="00EE2DE7">
        <w:rPr>
          <w:rFonts w:eastAsia="Calibri"/>
          <w:kern w:val="24"/>
        </w:rPr>
        <w:t>ë lidhje me fre</w:t>
      </w:r>
      <w:r>
        <w:rPr>
          <w:rFonts w:eastAsia="Calibri"/>
          <w:kern w:val="24"/>
        </w:rPr>
        <w:t>kuentimin e sesioneve trajnuese</w:t>
      </w:r>
      <w:r w:rsidRPr="00EE2DE7">
        <w:rPr>
          <w:rFonts w:eastAsia="Calibri"/>
          <w:kern w:val="24"/>
        </w:rPr>
        <w:t xml:space="preserve"> (ndonëse nuk ka asnjë detyrim t’u kujtojë gjyqtarëve dhe prokurorëve se duhet të respektojnë ligjin), ka informuar çdo gjyqtar e prokuror për detyrimin e tyre ligjor, duke nënvizuar periudhën e Formimit Vazhdues për secilin.</w:t>
      </w:r>
    </w:p>
    <w:p w:rsidR="008128BC" w:rsidRPr="00EE2DE7" w:rsidRDefault="008128BC" w:rsidP="008128BC">
      <w:pPr>
        <w:spacing w:line="276" w:lineRule="auto"/>
        <w:ind w:firstLine="720"/>
        <w:jc w:val="both"/>
        <w:rPr>
          <w:rFonts w:eastAsia="Calibri"/>
          <w:kern w:val="24"/>
        </w:rPr>
      </w:pPr>
      <w:r>
        <w:rPr>
          <w:rFonts w:eastAsia="Calibri"/>
          <w:kern w:val="24"/>
        </w:rPr>
        <w:t>Shkolla vlerëson se në këtë drejtim</w:t>
      </w:r>
      <w:r w:rsidRPr="00EE2DE7">
        <w:rPr>
          <w:rFonts w:eastAsia="Calibri"/>
          <w:kern w:val="24"/>
        </w:rPr>
        <w:t xml:space="preserve"> është shumë e rëndësishme të vendoset një “urë komunikimi” e vazhdueshme mes kryetarëve të gjykatave dhe drejtuesve të prokurorive, si përfaqësues të këtyre institucioneve në marrëdhënie me të tretët dhe Shkollës së Magjistraturës. Ajo e ka realizuar këtë objektiv nëpërmjet vendosjes së pikave të kontaktit me çdo gjykatë e prokurori dhe me anë të një shërbimi me kosto sa më të ulët dhe të shpejtë, është vendosur komunikimi i çdo njoftimi lidhur me Formimin Vazhdues me anën e platformës </w:t>
      </w:r>
      <w:r>
        <w:rPr>
          <w:rFonts w:eastAsia="Calibri"/>
          <w:i/>
          <w:kern w:val="24"/>
        </w:rPr>
        <w:t>E</w:t>
      </w:r>
      <w:r w:rsidRPr="00EE2DE7">
        <w:rPr>
          <w:rFonts w:eastAsia="Calibri"/>
          <w:i/>
          <w:kern w:val="24"/>
        </w:rPr>
        <w:t>-learning</w:t>
      </w:r>
      <w:r w:rsidRPr="00EE2DE7">
        <w:rPr>
          <w:rFonts w:eastAsia="Calibri"/>
          <w:kern w:val="24"/>
        </w:rPr>
        <w:t xml:space="preserve"> dhe postës elektronike</w:t>
      </w:r>
      <w:r w:rsidRPr="00EE2DE7">
        <w:rPr>
          <w:rFonts w:eastAsia="Calibri"/>
          <w:color w:val="00B0F0"/>
          <w:kern w:val="24"/>
        </w:rPr>
        <w:t xml:space="preserve">. </w:t>
      </w:r>
      <w:r w:rsidRPr="00EE2DE7">
        <w:rPr>
          <w:rFonts w:eastAsia="Calibri"/>
          <w:kern w:val="24"/>
        </w:rPr>
        <w:t>Përmes këtij komunikimi të vazhdueshëm, Shkolla mund të informohet në lidhje me pretendimet e gjyqtarëve dhe të prokurorëve për nivelin e trajnimeve, për çështjet që paraqesin më shumë interes për t’u trajtuar brenda një sesioni, për probleme të praktikës gjyqësore me të cilat ato ndeshen çdo ditë, me qëllim përditësimin e kalendarit të Formimit Vazhdues dhe pasurimin tij në të ar</w:t>
      </w:r>
      <w:r>
        <w:rPr>
          <w:rFonts w:eastAsia="Calibri"/>
          <w:kern w:val="24"/>
        </w:rPr>
        <w:t>dhmen. Një risi në këtë drejtim</w:t>
      </w:r>
      <w:r w:rsidRPr="00EE2DE7">
        <w:rPr>
          <w:rFonts w:eastAsia="Calibri"/>
          <w:kern w:val="24"/>
        </w:rPr>
        <w:t xml:space="preserve"> është implementimi i platformës </w:t>
      </w:r>
      <w:r>
        <w:rPr>
          <w:rFonts w:eastAsia="Calibri"/>
          <w:i/>
          <w:kern w:val="24"/>
        </w:rPr>
        <w:t>E</w:t>
      </w:r>
      <w:r w:rsidRPr="00EE2DE7">
        <w:rPr>
          <w:rFonts w:eastAsia="Calibri"/>
          <w:i/>
          <w:kern w:val="24"/>
        </w:rPr>
        <w:t>-learning</w:t>
      </w:r>
      <w:r w:rsidRPr="00EE2DE7">
        <w:rPr>
          <w:rFonts w:eastAsia="Calibri"/>
          <w:kern w:val="24"/>
        </w:rPr>
        <w:t>,</w:t>
      </w:r>
      <w:r w:rsidRPr="00EE2DE7">
        <w:rPr>
          <w:rFonts w:eastAsia="Calibri"/>
          <w:color w:val="00B0F0"/>
          <w:kern w:val="24"/>
        </w:rPr>
        <w:t xml:space="preserve"> </w:t>
      </w:r>
      <w:r w:rsidRPr="00EE2DE7">
        <w:rPr>
          <w:rFonts w:eastAsia="Calibri"/>
          <w:kern w:val="24"/>
        </w:rPr>
        <w:t>nëpërmjet të cilës bëhet i mundur aksesi i çdo gjyqtari dhe prokurori, për t’u njohur jo vetëm me temat e kalendarit të trajnimeve, por edhe me materialet që përdoren nga ekspertët/lehtësuesit në çdo trajnim të zhvilluar.</w:t>
      </w:r>
    </w:p>
    <w:p w:rsidR="008128BC" w:rsidRDefault="008128BC" w:rsidP="008128BC">
      <w:pPr>
        <w:spacing w:line="276" w:lineRule="auto"/>
        <w:ind w:firstLine="720"/>
        <w:jc w:val="both"/>
        <w:rPr>
          <w:rFonts w:eastAsia="Calibri"/>
          <w:kern w:val="24"/>
        </w:rPr>
      </w:pPr>
      <w:r w:rsidRPr="00EE2DE7">
        <w:rPr>
          <w:rFonts w:eastAsia="Calibri"/>
          <w:kern w:val="24"/>
        </w:rPr>
        <w:t xml:space="preserve">Pjesëmarrja në Programin e Formimit Vazhdues është pjesë e rëndësishme e sistemit të vlerësimit të gjyqtarëve e prokurorëve, përpos faktit që trajnimet ndikojnë në rritjen e performancës së tyre në ushtrimin e funksionit. Nga kjo pikëpamje, shprehim bindjen se do të kemi edhe mbështetjen e KLGJ-së dhe KLP-së në realizimin sa më efektiv të Programit të Formimit Vazhdues, pasi kjo është në interesin e vetë sistemit të drejtësisë. </w:t>
      </w:r>
    </w:p>
    <w:p w:rsidR="00DE6575" w:rsidRDefault="00DE6575" w:rsidP="00DE6575">
      <w:pPr>
        <w:spacing w:line="276" w:lineRule="auto"/>
        <w:rPr>
          <w:rFonts w:eastAsia="Calibri"/>
          <w:kern w:val="24"/>
        </w:rPr>
      </w:pPr>
    </w:p>
    <w:p w:rsidR="00DE6575" w:rsidRPr="00DE6575" w:rsidRDefault="00DE6575" w:rsidP="00DE6575">
      <w:pPr>
        <w:spacing w:line="276" w:lineRule="auto"/>
        <w:rPr>
          <w:rFonts w:eastAsia="Calibri"/>
          <w:i/>
          <w:kern w:val="24"/>
          <w:sz w:val="20"/>
        </w:rPr>
      </w:pPr>
      <w:r w:rsidRPr="00DE6575">
        <w:rPr>
          <w:rFonts w:eastAsia="Calibri"/>
          <w:noProof/>
          <w:kern w:val="24"/>
          <w:sz w:val="18"/>
          <w:lang w:eastAsia="en-US"/>
        </w:rPr>
        <w:drawing>
          <wp:anchor distT="0" distB="0" distL="114300" distR="114300" simplePos="0" relativeHeight="251734528" behindDoc="0" locked="0" layoutInCell="1" allowOverlap="1">
            <wp:simplePos x="0" y="0"/>
            <wp:positionH relativeFrom="margin">
              <wp:align>left</wp:align>
            </wp:positionH>
            <wp:positionV relativeFrom="margin">
              <wp:posOffset>5977890</wp:posOffset>
            </wp:positionV>
            <wp:extent cx="3345180" cy="2308860"/>
            <wp:effectExtent l="19050" t="0" r="26670" b="0"/>
            <wp:wrapSquare wrapText="bothSides"/>
            <wp:docPr id="3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Pr>
          <w:rFonts w:eastAsia="Calibri"/>
          <w:i/>
          <w:kern w:val="24"/>
        </w:rPr>
        <w:t xml:space="preserve">                                                                                                                                                                          </w:t>
      </w:r>
      <w:r w:rsidRPr="00DE6575">
        <w:rPr>
          <w:rFonts w:eastAsia="Calibri"/>
          <w:i/>
          <w:kern w:val="24"/>
        </w:rPr>
        <w:t xml:space="preserve"> </w:t>
      </w:r>
      <w:r w:rsidRPr="00DE6575">
        <w:rPr>
          <w:rFonts w:eastAsia="Calibri"/>
          <w:i/>
          <w:kern w:val="24"/>
          <w:sz w:val="20"/>
        </w:rPr>
        <w:t xml:space="preserve">Grafiku nr. 5 Frekuentimi i rregullt i aktiviteteve me pasojë certifikimin ose jo të kategorisë gjyqtarë, </w:t>
      </w:r>
    </w:p>
    <w:p w:rsidR="00DE6575" w:rsidRPr="00DE6575" w:rsidRDefault="00DE6575" w:rsidP="00DE6575">
      <w:pPr>
        <w:spacing w:line="276" w:lineRule="auto"/>
        <w:rPr>
          <w:rFonts w:eastAsia="Calibri"/>
          <w:i/>
          <w:kern w:val="24"/>
          <w:sz w:val="20"/>
        </w:rPr>
      </w:pPr>
      <w:r w:rsidRPr="00DE6575">
        <w:rPr>
          <w:rFonts w:eastAsia="Calibri"/>
          <w:i/>
          <w:kern w:val="24"/>
          <w:sz w:val="20"/>
        </w:rPr>
        <w:t>viti akademik 2017-2018</w:t>
      </w:r>
    </w:p>
    <w:p w:rsidR="008128BC" w:rsidRPr="00A811C4" w:rsidRDefault="008128BC" w:rsidP="008128BC">
      <w:pPr>
        <w:spacing w:line="276" w:lineRule="auto"/>
        <w:jc w:val="both"/>
        <w:rPr>
          <w:rFonts w:eastAsia="Calibri"/>
          <w:kern w:val="24"/>
          <w:sz w:val="18"/>
        </w:rPr>
      </w:pPr>
    </w:p>
    <w:p w:rsidR="008128BC" w:rsidRPr="00A34172" w:rsidRDefault="008128BC" w:rsidP="00A34172">
      <w:pPr>
        <w:spacing w:line="276" w:lineRule="auto"/>
        <w:contextualSpacing/>
        <w:rPr>
          <w:b/>
          <w:color w:val="CC9966" w:themeColor="accent2"/>
          <w:sz w:val="28"/>
        </w:rPr>
      </w:pPr>
    </w:p>
    <w:p w:rsidR="009D3274" w:rsidRDefault="009D3274" w:rsidP="009D3274">
      <w:pPr>
        <w:tabs>
          <w:tab w:val="left" w:pos="10260"/>
        </w:tabs>
        <w:jc w:val="both"/>
      </w:pPr>
    </w:p>
    <w:p w:rsidR="00DE6575" w:rsidRDefault="00DE6575" w:rsidP="009D3274">
      <w:pPr>
        <w:tabs>
          <w:tab w:val="left" w:pos="10260"/>
        </w:tabs>
        <w:jc w:val="both"/>
      </w:pPr>
    </w:p>
    <w:p w:rsidR="00DE6575" w:rsidRDefault="00DE6575" w:rsidP="009D3274">
      <w:pPr>
        <w:tabs>
          <w:tab w:val="left" w:pos="10260"/>
        </w:tabs>
        <w:jc w:val="both"/>
      </w:pPr>
    </w:p>
    <w:p w:rsidR="00DE6575" w:rsidRDefault="00DE6575" w:rsidP="009D3274">
      <w:pPr>
        <w:tabs>
          <w:tab w:val="left" w:pos="10260"/>
        </w:tabs>
        <w:jc w:val="both"/>
      </w:pPr>
    </w:p>
    <w:p w:rsidR="00DE6575" w:rsidRDefault="00DE6575" w:rsidP="009D3274">
      <w:pPr>
        <w:tabs>
          <w:tab w:val="left" w:pos="10260"/>
        </w:tabs>
        <w:jc w:val="both"/>
      </w:pPr>
    </w:p>
    <w:p w:rsidR="00DE6575" w:rsidRDefault="00DE6575" w:rsidP="009D3274">
      <w:pPr>
        <w:tabs>
          <w:tab w:val="left" w:pos="10260"/>
        </w:tabs>
        <w:jc w:val="both"/>
      </w:pPr>
    </w:p>
    <w:p w:rsidR="00DE6575" w:rsidRDefault="00A62BF0" w:rsidP="009D3274">
      <w:pPr>
        <w:tabs>
          <w:tab w:val="left" w:pos="10260"/>
        </w:tabs>
        <w:jc w:val="both"/>
      </w:pPr>
      <w:r>
        <w:rPr>
          <w:noProof/>
          <w:lang w:eastAsia="en-US"/>
        </w:rPr>
        <w:lastRenderedPageBreak/>
        <w:drawing>
          <wp:anchor distT="0" distB="0" distL="114300" distR="114300" simplePos="0" relativeHeight="251735552" behindDoc="0" locked="0" layoutInCell="1" allowOverlap="1">
            <wp:simplePos x="0" y="0"/>
            <wp:positionH relativeFrom="margin">
              <wp:align>right</wp:align>
            </wp:positionH>
            <wp:positionV relativeFrom="margin">
              <wp:align>top</wp:align>
            </wp:positionV>
            <wp:extent cx="3227070" cy="2430780"/>
            <wp:effectExtent l="19050" t="0" r="11430" b="7620"/>
            <wp:wrapSquare wrapText="bothSides"/>
            <wp:docPr id="3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62BF0" w:rsidRPr="00A62BF0" w:rsidRDefault="00A62BF0" w:rsidP="00A62BF0">
      <w:pPr>
        <w:spacing w:line="276" w:lineRule="auto"/>
        <w:jc w:val="center"/>
        <w:rPr>
          <w:rFonts w:eastAsia="Calibri"/>
          <w:i/>
          <w:kern w:val="24"/>
          <w:sz w:val="20"/>
        </w:rPr>
      </w:pPr>
      <w:r w:rsidRPr="00A62BF0">
        <w:rPr>
          <w:rFonts w:eastAsia="Calibri"/>
          <w:i/>
          <w:kern w:val="24"/>
          <w:sz w:val="20"/>
        </w:rPr>
        <w:t>Grafiku nr. 6 Frekuentimi i rregullt i aktiviteteve me pasojë certifikimin ose jo të kategorisë prokurorë,</w:t>
      </w:r>
    </w:p>
    <w:p w:rsidR="00A62BF0" w:rsidRPr="00A62BF0" w:rsidRDefault="00A62BF0" w:rsidP="00A62BF0">
      <w:pPr>
        <w:spacing w:line="276" w:lineRule="auto"/>
        <w:jc w:val="center"/>
        <w:rPr>
          <w:rFonts w:eastAsia="Calibri"/>
          <w:i/>
          <w:kern w:val="24"/>
          <w:sz w:val="20"/>
        </w:rPr>
      </w:pPr>
      <w:r w:rsidRPr="00A62BF0">
        <w:rPr>
          <w:rFonts w:eastAsia="Calibri"/>
          <w:i/>
          <w:kern w:val="24"/>
          <w:sz w:val="20"/>
        </w:rPr>
        <w:t>viti akademik 2017-2018</w:t>
      </w:r>
    </w:p>
    <w:p w:rsidR="00A62BF0" w:rsidRDefault="00A62BF0" w:rsidP="009D3274">
      <w:pPr>
        <w:tabs>
          <w:tab w:val="left" w:pos="10260"/>
        </w:tabs>
        <w:jc w:val="both"/>
      </w:pPr>
    </w:p>
    <w:p w:rsidR="00B348F7" w:rsidRPr="00EE2DE7" w:rsidRDefault="00B348F7" w:rsidP="00B348F7">
      <w:pPr>
        <w:spacing w:line="276" w:lineRule="auto"/>
        <w:jc w:val="both"/>
        <w:rPr>
          <w:rFonts w:eastAsia="Calibri"/>
          <w:kern w:val="24"/>
          <w:szCs w:val="23"/>
        </w:rPr>
      </w:pPr>
      <w:r>
        <w:rPr>
          <w:rFonts w:eastAsia="Calibri"/>
          <w:kern w:val="24"/>
          <w:szCs w:val="23"/>
        </w:rPr>
        <w:t>Në grafikët nr. 5</w:t>
      </w:r>
      <w:r w:rsidRPr="00EE2DE7">
        <w:rPr>
          <w:rFonts w:eastAsia="Calibri"/>
          <w:kern w:val="24"/>
          <w:szCs w:val="23"/>
        </w:rPr>
        <w:t xml:space="preserve"> dhe</w:t>
      </w:r>
      <w:r>
        <w:rPr>
          <w:rFonts w:eastAsia="Calibri"/>
          <w:kern w:val="24"/>
          <w:szCs w:val="23"/>
        </w:rPr>
        <w:t xml:space="preserve"> nr. 6</w:t>
      </w:r>
      <w:r w:rsidRPr="00EE2DE7">
        <w:rPr>
          <w:rFonts w:eastAsia="Calibri"/>
          <w:kern w:val="24"/>
          <w:szCs w:val="23"/>
        </w:rPr>
        <w:t xml:space="preserve"> vihet re se frekuentimi i sesioneve trajnuese për tema/kurse nga ana e gjyqtarëve/prokurorëve i llogaritur në numër total, është përkatësisht 1992 (njëmijë e nëntëqind e nëntëdhjetë e dy) </w:t>
      </w:r>
      <w:r w:rsidRPr="0069377A">
        <w:rPr>
          <w:rFonts w:eastAsia="Calibri"/>
          <w:kern w:val="24"/>
          <w:szCs w:val="23"/>
        </w:rPr>
        <w:t>gjyqtarë dhe 1501 (njëmijë e pesëqind e një) prokurorë.</w:t>
      </w:r>
      <w:r w:rsidRPr="00EE2DE7">
        <w:rPr>
          <w:rFonts w:eastAsia="Calibri"/>
          <w:kern w:val="24"/>
          <w:szCs w:val="23"/>
        </w:rPr>
        <w:t xml:space="preserve"> Pra, vihet re se edhe pse frekuentimi në tema/kurse nga gjyqtarët është në 1992 (njëmijë e nëntëqind e nëntëdhjetë e dy), certifikimi bie në 1509 (njëmijë e pesëqind</w:t>
      </w:r>
      <w:r>
        <w:rPr>
          <w:rFonts w:eastAsia="Calibri"/>
          <w:kern w:val="24"/>
          <w:szCs w:val="23"/>
        </w:rPr>
        <w:t xml:space="preserve"> e nëntë), kjo për shkak të mos</w:t>
      </w:r>
      <w:r w:rsidRPr="00EE2DE7">
        <w:rPr>
          <w:rFonts w:eastAsia="Calibri"/>
          <w:kern w:val="24"/>
          <w:szCs w:val="23"/>
        </w:rPr>
        <w:t>qëndrimit në mënyrë permanente gjatë gjithë kohëzgjatjes së aktivitetit. Po e njëjta situatë, paraqitet edhe për prokurorët, ku frekuentimi në tema/kurse është dukshëm më i ulët, pra në 1501 (njëmijë e pesëqind e një)  të ardhur, ndërsa certifikimi për tema/kurse shkon në 1124 (njëmijë e njëqind e njëzet e katër).</w:t>
      </w:r>
    </w:p>
    <w:p w:rsidR="00B348F7" w:rsidRPr="00EE2DE7" w:rsidRDefault="00B348F7" w:rsidP="00B348F7">
      <w:pPr>
        <w:spacing w:line="276" w:lineRule="auto"/>
        <w:jc w:val="both"/>
        <w:rPr>
          <w:rFonts w:eastAsia="Calibri"/>
          <w:kern w:val="24"/>
          <w:szCs w:val="23"/>
        </w:rPr>
      </w:pPr>
    </w:p>
    <w:p w:rsidR="00B348F7" w:rsidRDefault="00B348F7" w:rsidP="00B348F7">
      <w:pPr>
        <w:spacing w:after="200" w:line="276" w:lineRule="auto"/>
        <w:jc w:val="both"/>
        <w:rPr>
          <w:rFonts w:eastAsia="Calibri"/>
          <w:kern w:val="24"/>
          <w:szCs w:val="23"/>
        </w:rPr>
      </w:pPr>
      <w:r w:rsidRPr="00EE2DE7">
        <w:rPr>
          <w:rFonts w:eastAsia="Calibri"/>
          <w:kern w:val="24"/>
          <w:szCs w:val="23"/>
        </w:rPr>
        <w:t>Pjesëmarrja dhe certifikimi sipas muajve paraqitet në tabel</w:t>
      </w:r>
      <w:r w:rsidRPr="00EE2DE7">
        <w:rPr>
          <w:rFonts w:eastAsia="MS Mincho"/>
          <w:kern w:val="24"/>
        </w:rPr>
        <w:t>ë</w:t>
      </w:r>
      <w:r w:rsidRPr="00EE2DE7">
        <w:rPr>
          <w:rFonts w:eastAsia="Calibri"/>
          <w:kern w:val="24"/>
          <w:szCs w:val="23"/>
        </w:rPr>
        <w:t xml:space="preserve"> si më poshtë:</w:t>
      </w:r>
    </w:p>
    <w:tbl>
      <w:tblPr>
        <w:tblStyle w:val="LightGrid-Accent11"/>
        <w:tblW w:w="9576" w:type="dxa"/>
        <w:tblLook w:val="04A0" w:firstRow="1" w:lastRow="0" w:firstColumn="1" w:lastColumn="0" w:noHBand="0" w:noVBand="1"/>
      </w:tblPr>
      <w:tblGrid>
        <w:gridCol w:w="1914"/>
        <w:gridCol w:w="1915"/>
        <w:gridCol w:w="1915"/>
        <w:gridCol w:w="1916"/>
        <w:gridCol w:w="1916"/>
      </w:tblGrid>
      <w:tr w:rsidR="00B348F7" w:rsidRPr="00EE2DE7" w:rsidTr="00B348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69377A" w:rsidRDefault="00B348F7" w:rsidP="002737A9">
            <w:pPr>
              <w:jc w:val="center"/>
              <w:rPr>
                <w:rFonts w:ascii="Calibri" w:eastAsia="Calibri" w:hAnsi="Calibri" w:cs="Times New Roman"/>
                <w:b w:val="0"/>
                <w:sz w:val="23"/>
                <w:szCs w:val="23"/>
              </w:rPr>
            </w:pPr>
            <w:r w:rsidRPr="0069377A">
              <w:rPr>
                <w:rFonts w:ascii="Calibri" w:eastAsia="Calibri" w:hAnsi="Calibri" w:cs="Times New Roman"/>
                <w:b w:val="0"/>
                <w:sz w:val="23"/>
                <w:szCs w:val="23"/>
              </w:rPr>
              <w:t>Muaji</w:t>
            </w:r>
          </w:p>
        </w:tc>
        <w:tc>
          <w:tcPr>
            <w:tcW w:w="1915" w:type="dxa"/>
          </w:tcPr>
          <w:p w:rsidR="00B348F7" w:rsidRPr="0069377A" w:rsidRDefault="00B348F7" w:rsidP="002737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3"/>
                <w:szCs w:val="23"/>
              </w:rPr>
            </w:pPr>
            <w:r w:rsidRPr="0069377A">
              <w:rPr>
                <w:rFonts w:ascii="Calibri" w:eastAsia="Calibri" w:hAnsi="Calibri" w:cs="Times New Roman"/>
                <w:b w:val="0"/>
                <w:sz w:val="23"/>
                <w:szCs w:val="23"/>
              </w:rPr>
              <w:t>Gjyqtar</w:t>
            </w:r>
            <w:r w:rsidRPr="0069377A">
              <w:rPr>
                <w:rFonts w:ascii="Times New Roman" w:eastAsia="MS Mincho" w:hAnsi="Times New Roman" w:cs="Times New Roman"/>
                <w:b w:val="0"/>
              </w:rPr>
              <w:t>ë</w:t>
            </w:r>
            <w:r w:rsidRPr="0069377A">
              <w:rPr>
                <w:rFonts w:ascii="Calibri" w:eastAsia="Calibri" w:hAnsi="Calibri" w:cs="Times New Roman"/>
                <w:b w:val="0"/>
                <w:sz w:val="23"/>
                <w:szCs w:val="23"/>
              </w:rPr>
              <w:t xml:space="preserve"> pjes</w:t>
            </w:r>
            <w:r w:rsidRPr="0069377A">
              <w:rPr>
                <w:rFonts w:ascii="Times New Roman" w:eastAsia="MS Mincho" w:hAnsi="Times New Roman" w:cs="Times New Roman"/>
                <w:b w:val="0"/>
              </w:rPr>
              <w:t>ë</w:t>
            </w:r>
            <w:r w:rsidRPr="0069377A">
              <w:rPr>
                <w:rFonts w:ascii="Calibri" w:eastAsia="Calibri" w:hAnsi="Calibri" w:cs="Times New Roman"/>
                <w:b w:val="0"/>
                <w:sz w:val="23"/>
                <w:szCs w:val="23"/>
              </w:rPr>
              <w:t>marr</w:t>
            </w:r>
            <w:r w:rsidRPr="0069377A">
              <w:rPr>
                <w:rFonts w:ascii="Times New Roman" w:eastAsia="MS Mincho" w:hAnsi="Times New Roman" w:cs="Times New Roman"/>
                <w:b w:val="0"/>
              </w:rPr>
              <w:t>ë</w:t>
            </w:r>
            <w:r w:rsidRPr="0069377A">
              <w:rPr>
                <w:rFonts w:ascii="Calibri" w:eastAsia="Calibri" w:hAnsi="Calibri" w:cs="Times New Roman"/>
                <w:b w:val="0"/>
                <w:sz w:val="23"/>
                <w:szCs w:val="23"/>
              </w:rPr>
              <w:t>s</w:t>
            </w:r>
          </w:p>
        </w:tc>
        <w:tc>
          <w:tcPr>
            <w:tcW w:w="1915" w:type="dxa"/>
          </w:tcPr>
          <w:p w:rsidR="00B348F7" w:rsidRPr="0069377A" w:rsidRDefault="00B348F7" w:rsidP="002737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3"/>
                <w:szCs w:val="23"/>
              </w:rPr>
            </w:pPr>
            <w:r w:rsidRPr="0069377A">
              <w:rPr>
                <w:rFonts w:ascii="Calibri" w:eastAsia="Calibri" w:hAnsi="Calibri" w:cs="Times New Roman"/>
                <w:b w:val="0"/>
                <w:sz w:val="23"/>
                <w:szCs w:val="23"/>
              </w:rPr>
              <w:t>Gjyqtar</w:t>
            </w:r>
            <w:r w:rsidRPr="0069377A">
              <w:rPr>
                <w:rFonts w:ascii="Times New Roman" w:eastAsia="MS Mincho" w:hAnsi="Times New Roman" w:cs="Times New Roman"/>
                <w:b w:val="0"/>
              </w:rPr>
              <w:t>ë</w:t>
            </w:r>
          </w:p>
          <w:p w:rsidR="00B348F7" w:rsidRPr="0069377A" w:rsidRDefault="00B348F7" w:rsidP="002737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3"/>
                <w:szCs w:val="23"/>
              </w:rPr>
            </w:pPr>
            <w:r w:rsidRPr="0069377A">
              <w:rPr>
                <w:rFonts w:ascii="Calibri" w:eastAsia="Calibri" w:hAnsi="Calibri" w:cs="Times New Roman"/>
                <w:b w:val="0"/>
                <w:sz w:val="23"/>
                <w:szCs w:val="23"/>
              </w:rPr>
              <w:t>t</w:t>
            </w:r>
            <w:r w:rsidRPr="0069377A">
              <w:rPr>
                <w:rFonts w:ascii="Times New Roman" w:eastAsia="MS Mincho" w:hAnsi="Times New Roman" w:cs="Times New Roman"/>
                <w:b w:val="0"/>
              </w:rPr>
              <w:t>ë</w:t>
            </w:r>
            <w:r w:rsidRPr="0069377A">
              <w:rPr>
                <w:rFonts w:ascii="Calibri" w:eastAsia="Calibri" w:hAnsi="Calibri" w:cs="Times New Roman"/>
                <w:b w:val="0"/>
                <w:sz w:val="23"/>
                <w:szCs w:val="23"/>
              </w:rPr>
              <w:t xml:space="preserve"> certifikuar</w:t>
            </w:r>
          </w:p>
        </w:tc>
        <w:tc>
          <w:tcPr>
            <w:tcW w:w="1916" w:type="dxa"/>
          </w:tcPr>
          <w:p w:rsidR="00B348F7" w:rsidRPr="0069377A" w:rsidRDefault="00B348F7" w:rsidP="002737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3"/>
                <w:szCs w:val="23"/>
              </w:rPr>
            </w:pPr>
            <w:r w:rsidRPr="0069377A">
              <w:rPr>
                <w:rFonts w:ascii="Calibri" w:eastAsia="Calibri" w:hAnsi="Calibri" w:cs="Times New Roman"/>
                <w:b w:val="0"/>
                <w:sz w:val="23"/>
                <w:szCs w:val="23"/>
              </w:rPr>
              <w:t>Prokuror</w:t>
            </w:r>
            <w:r w:rsidRPr="0069377A">
              <w:rPr>
                <w:rFonts w:ascii="Times New Roman" w:eastAsia="MS Mincho" w:hAnsi="Times New Roman" w:cs="Times New Roman"/>
                <w:b w:val="0"/>
              </w:rPr>
              <w:t>ë</w:t>
            </w:r>
          </w:p>
          <w:p w:rsidR="00B348F7" w:rsidRPr="0069377A" w:rsidRDefault="00B348F7" w:rsidP="002737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3"/>
                <w:szCs w:val="23"/>
              </w:rPr>
            </w:pPr>
            <w:r w:rsidRPr="0069377A">
              <w:rPr>
                <w:rFonts w:ascii="Calibri" w:eastAsia="Calibri" w:hAnsi="Calibri" w:cs="Times New Roman"/>
                <w:b w:val="0"/>
                <w:sz w:val="23"/>
                <w:szCs w:val="23"/>
              </w:rPr>
              <w:t>Pjes</w:t>
            </w:r>
            <w:r w:rsidRPr="0069377A">
              <w:rPr>
                <w:rFonts w:ascii="Times New Roman" w:eastAsia="MS Mincho" w:hAnsi="Times New Roman" w:cs="Times New Roman"/>
                <w:b w:val="0"/>
              </w:rPr>
              <w:t>ë</w:t>
            </w:r>
            <w:r w:rsidRPr="0069377A">
              <w:rPr>
                <w:rFonts w:ascii="Calibri" w:eastAsia="Calibri" w:hAnsi="Calibri" w:cs="Times New Roman"/>
                <w:b w:val="0"/>
                <w:sz w:val="23"/>
                <w:szCs w:val="23"/>
              </w:rPr>
              <w:t>marr</w:t>
            </w:r>
            <w:r w:rsidRPr="0069377A">
              <w:rPr>
                <w:rFonts w:ascii="Times New Roman" w:eastAsia="MS Mincho" w:hAnsi="Times New Roman" w:cs="Times New Roman"/>
                <w:b w:val="0"/>
              </w:rPr>
              <w:t>ë</w:t>
            </w:r>
            <w:r w:rsidRPr="0069377A">
              <w:rPr>
                <w:rFonts w:ascii="Calibri" w:eastAsia="Calibri" w:hAnsi="Calibri" w:cs="Times New Roman"/>
                <w:b w:val="0"/>
                <w:sz w:val="23"/>
                <w:szCs w:val="23"/>
              </w:rPr>
              <w:t>s</w:t>
            </w:r>
          </w:p>
        </w:tc>
        <w:tc>
          <w:tcPr>
            <w:tcW w:w="1916" w:type="dxa"/>
          </w:tcPr>
          <w:p w:rsidR="00B348F7" w:rsidRPr="0069377A" w:rsidRDefault="00B348F7" w:rsidP="002737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3"/>
                <w:szCs w:val="23"/>
              </w:rPr>
            </w:pPr>
            <w:r w:rsidRPr="0069377A">
              <w:rPr>
                <w:rFonts w:ascii="Calibri" w:eastAsia="Calibri" w:hAnsi="Calibri" w:cs="Times New Roman"/>
                <w:b w:val="0"/>
                <w:sz w:val="23"/>
                <w:szCs w:val="23"/>
              </w:rPr>
              <w:t>Prokuror</w:t>
            </w:r>
            <w:r w:rsidRPr="0069377A">
              <w:rPr>
                <w:rFonts w:ascii="Times New Roman" w:eastAsia="MS Mincho" w:hAnsi="Times New Roman" w:cs="Times New Roman"/>
                <w:b w:val="0"/>
              </w:rPr>
              <w:t>ë</w:t>
            </w:r>
          </w:p>
          <w:p w:rsidR="00B348F7" w:rsidRPr="0069377A" w:rsidRDefault="00B348F7" w:rsidP="002737A9">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sz w:val="23"/>
                <w:szCs w:val="23"/>
              </w:rPr>
            </w:pPr>
            <w:r w:rsidRPr="0069377A">
              <w:rPr>
                <w:rFonts w:ascii="Calibri" w:eastAsia="Calibri" w:hAnsi="Calibri" w:cs="Times New Roman"/>
                <w:b w:val="0"/>
                <w:sz w:val="23"/>
                <w:szCs w:val="23"/>
              </w:rPr>
              <w:t>t</w:t>
            </w:r>
            <w:r w:rsidRPr="0069377A">
              <w:rPr>
                <w:rFonts w:ascii="Times New Roman" w:eastAsia="MS Mincho" w:hAnsi="Times New Roman" w:cs="Times New Roman"/>
                <w:b w:val="0"/>
              </w:rPr>
              <w:t>ë</w:t>
            </w:r>
            <w:r w:rsidRPr="0069377A">
              <w:rPr>
                <w:rFonts w:ascii="Calibri" w:eastAsia="Calibri" w:hAnsi="Calibri" w:cs="Times New Roman"/>
                <w:b w:val="0"/>
                <w:sz w:val="23"/>
                <w:szCs w:val="23"/>
              </w:rPr>
              <w:t xml:space="preserve"> certifikuar</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Janar  2018</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249</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123</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273</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177</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Shkurt 2018</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278</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210</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162</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100</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Mars 2018</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237</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192</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207</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177</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Prill 2018</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147</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130</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130</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111</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Maj 2018</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159</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142</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77</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59</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Qershor 2018</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242</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209</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165</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124</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Korrik 2018</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49</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45</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34</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29</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B348F7" w:rsidRDefault="00B348F7" w:rsidP="002737A9">
            <w:pPr>
              <w:rPr>
                <w:rFonts w:ascii="Calibri" w:eastAsia="Calibri" w:hAnsi="Calibri" w:cs="Times New Roman"/>
                <w:sz w:val="20"/>
                <w:szCs w:val="23"/>
              </w:rPr>
            </w:pPr>
            <w:r w:rsidRPr="00B348F7">
              <w:rPr>
                <w:rFonts w:ascii="Calibri" w:eastAsia="Calibri" w:hAnsi="Calibri" w:cs="Times New Roman"/>
                <w:sz w:val="20"/>
                <w:szCs w:val="23"/>
              </w:rPr>
              <w:t xml:space="preserve">Nëntor –dhjetor                   </w:t>
            </w:r>
          </w:p>
          <w:p w:rsidR="00B348F7" w:rsidRPr="00EE2DE7" w:rsidRDefault="00B348F7" w:rsidP="002737A9">
            <w:pPr>
              <w:rPr>
                <w:rFonts w:ascii="Calibri" w:eastAsia="Calibri" w:hAnsi="Calibri" w:cs="Times New Roman"/>
                <w:sz w:val="23"/>
                <w:szCs w:val="23"/>
              </w:rPr>
            </w:pPr>
            <w:r w:rsidRPr="00B348F7">
              <w:rPr>
                <w:rFonts w:ascii="Calibri" w:eastAsia="Calibri" w:hAnsi="Calibri" w:cs="Times New Roman"/>
                <w:sz w:val="20"/>
                <w:szCs w:val="23"/>
              </w:rPr>
              <w:t xml:space="preserve">                2017</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523</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360</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370</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276</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Tetor      2017</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75</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66</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81</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69</w:t>
            </w:r>
          </w:p>
        </w:tc>
      </w:tr>
      <w:tr w:rsidR="00B348F7" w:rsidRPr="00EE2DE7" w:rsidTr="00B348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Shtator  2017</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33</w:t>
            </w:r>
          </w:p>
        </w:tc>
        <w:tc>
          <w:tcPr>
            <w:tcW w:w="1915"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32</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w:t>
            </w:r>
          </w:p>
        </w:tc>
        <w:tc>
          <w:tcPr>
            <w:tcW w:w="1916" w:type="dxa"/>
          </w:tcPr>
          <w:p w:rsidR="00B348F7" w:rsidRPr="00EE2DE7" w:rsidRDefault="00B348F7" w:rsidP="002737A9">
            <w:pPr>
              <w:jc w:val="center"/>
              <w:cnfStyle w:val="000000010000" w:firstRow="0" w:lastRow="0" w:firstColumn="0" w:lastColumn="0" w:oddVBand="0" w:evenVBand="0" w:oddHBand="0" w:evenHBand="1"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2</w:t>
            </w:r>
          </w:p>
        </w:tc>
      </w:tr>
      <w:tr w:rsidR="00B348F7" w:rsidRPr="00EE2DE7" w:rsidTr="00B348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4" w:type="dxa"/>
          </w:tcPr>
          <w:p w:rsidR="00B348F7" w:rsidRPr="00EE2DE7" w:rsidRDefault="00B348F7" w:rsidP="002737A9">
            <w:pPr>
              <w:rPr>
                <w:rFonts w:ascii="Calibri" w:eastAsia="Calibri" w:hAnsi="Calibri" w:cs="Times New Roman"/>
                <w:sz w:val="23"/>
                <w:szCs w:val="23"/>
              </w:rPr>
            </w:pPr>
            <w:r w:rsidRPr="00EE2DE7">
              <w:rPr>
                <w:rFonts w:ascii="Calibri" w:eastAsia="Calibri" w:hAnsi="Calibri" w:cs="Times New Roman"/>
                <w:sz w:val="23"/>
                <w:szCs w:val="23"/>
              </w:rPr>
              <w:t>Total</w:t>
            </w:r>
            <w:r>
              <w:rPr>
                <w:rFonts w:ascii="Calibri" w:eastAsia="Calibri" w:hAnsi="Calibri" w:cs="Times New Roman"/>
                <w:sz w:val="23"/>
                <w:szCs w:val="23"/>
              </w:rPr>
              <w:t xml:space="preserve">i </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1992</w:t>
            </w:r>
          </w:p>
        </w:tc>
        <w:tc>
          <w:tcPr>
            <w:tcW w:w="1915"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1509</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1501</w:t>
            </w:r>
          </w:p>
        </w:tc>
        <w:tc>
          <w:tcPr>
            <w:tcW w:w="1916" w:type="dxa"/>
          </w:tcPr>
          <w:p w:rsidR="00B348F7" w:rsidRPr="00EE2DE7" w:rsidRDefault="00B348F7" w:rsidP="002737A9">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sz w:val="23"/>
                <w:szCs w:val="23"/>
              </w:rPr>
            </w:pPr>
            <w:r w:rsidRPr="00EE2DE7">
              <w:rPr>
                <w:rFonts w:ascii="Calibri" w:eastAsia="Calibri" w:hAnsi="Calibri"/>
                <w:sz w:val="23"/>
                <w:szCs w:val="23"/>
              </w:rPr>
              <w:t>1124</w:t>
            </w:r>
          </w:p>
        </w:tc>
      </w:tr>
    </w:tbl>
    <w:p w:rsidR="00B348F7" w:rsidRPr="00B348F7" w:rsidRDefault="00B348F7" w:rsidP="00B348F7">
      <w:pPr>
        <w:spacing w:after="200" w:line="276" w:lineRule="auto"/>
        <w:jc w:val="both"/>
        <w:rPr>
          <w:rFonts w:eastAsia="Calibri"/>
          <w:i/>
          <w:kern w:val="24"/>
          <w:sz w:val="20"/>
        </w:rPr>
      </w:pPr>
      <w:r>
        <w:rPr>
          <w:rFonts w:eastAsia="Calibri"/>
          <w:i/>
          <w:kern w:val="24"/>
          <w:sz w:val="20"/>
        </w:rPr>
        <w:t xml:space="preserve">                                               </w:t>
      </w:r>
      <w:r w:rsidRPr="00B348F7">
        <w:rPr>
          <w:rFonts w:eastAsia="Calibri"/>
          <w:i/>
          <w:kern w:val="24"/>
          <w:sz w:val="20"/>
        </w:rPr>
        <w:t>Tabela nr.2 Pjesëmarrja dhe certifikimi sipas muajve</w:t>
      </w:r>
    </w:p>
    <w:p w:rsidR="00B348F7" w:rsidRPr="003E7455" w:rsidRDefault="00B348F7" w:rsidP="003E7455">
      <w:pPr>
        <w:spacing w:line="276" w:lineRule="auto"/>
        <w:jc w:val="both"/>
        <w:rPr>
          <w:b/>
          <w:color w:val="CC9966" w:themeColor="accent2"/>
        </w:rPr>
      </w:pPr>
      <w:r w:rsidRPr="003E7455">
        <w:rPr>
          <w:b/>
          <w:color w:val="CC9966" w:themeColor="accent2"/>
        </w:rPr>
        <w:t>Këtë vit akademik të dhënat janë mbajtur në mënyrë manuale dhe digjitale.</w:t>
      </w:r>
    </w:p>
    <w:p w:rsidR="00B348F7" w:rsidRPr="00EE2DE7" w:rsidRDefault="00B348F7" w:rsidP="00B348F7">
      <w:pPr>
        <w:spacing w:line="276" w:lineRule="auto"/>
        <w:ind w:firstLine="720"/>
        <w:jc w:val="both"/>
        <w:rPr>
          <w:rFonts w:eastAsia="Calibri"/>
          <w:kern w:val="24"/>
          <w:szCs w:val="23"/>
        </w:rPr>
      </w:pPr>
    </w:p>
    <w:p w:rsidR="00B348F7" w:rsidRPr="002A5C07" w:rsidRDefault="00B348F7" w:rsidP="00B348F7">
      <w:pPr>
        <w:spacing w:line="276" w:lineRule="auto"/>
        <w:ind w:firstLine="720"/>
        <w:jc w:val="both"/>
        <w:rPr>
          <w:rFonts w:eastAsia="Calibri"/>
          <w:kern w:val="24"/>
          <w:szCs w:val="23"/>
        </w:rPr>
      </w:pPr>
      <w:r w:rsidRPr="00EE2DE7">
        <w:rPr>
          <w:rFonts w:eastAsia="Calibri"/>
          <w:kern w:val="24"/>
          <w:szCs w:val="23"/>
        </w:rPr>
        <w:t>Por, si risi, në këtë pjesë, vlen</w:t>
      </w:r>
      <w:r w:rsidRPr="00EE2DE7">
        <w:rPr>
          <w:rFonts w:eastAsia="Calibri"/>
          <w:b/>
          <w:kern w:val="24"/>
          <w:szCs w:val="23"/>
        </w:rPr>
        <w:t xml:space="preserve"> </w:t>
      </w:r>
      <w:r w:rsidRPr="002A5C07">
        <w:rPr>
          <w:rFonts w:eastAsia="Calibri"/>
          <w:kern w:val="24"/>
          <w:szCs w:val="23"/>
        </w:rPr>
        <w:t xml:space="preserve">të përmendim, implementimin e platformës E-learning, nëpërmjet të cilës, ndër të tjera, synohet të realizohet mbajtja e të dhënave në mënyrë elektronike. Kjo platformë, do të përmirësojë, jo vetëm cilësinë e dhënies së informacionit nga sekretaria e FV-së, por edhe do të lehtësojë marrjen e informacionit nga gjyqtarë/prokurorë (dhe jo vetëm) në lidhje me trajnimet që do të realizohen dhe materialet e përdorura në çdo trajnim. </w:t>
      </w:r>
    </w:p>
    <w:p w:rsidR="00B348F7" w:rsidRPr="00EE2DE7" w:rsidRDefault="00B348F7" w:rsidP="003E7455">
      <w:pPr>
        <w:spacing w:line="276" w:lineRule="auto"/>
        <w:ind w:firstLine="720"/>
        <w:jc w:val="both"/>
        <w:rPr>
          <w:rFonts w:eastAsia="Calibri"/>
          <w:kern w:val="24"/>
          <w:szCs w:val="23"/>
        </w:rPr>
      </w:pPr>
      <w:r w:rsidRPr="00EE2DE7">
        <w:rPr>
          <w:rFonts w:eastAsia="Calibri"/>
          <w:kern w:val="24"/>
          <w:szCs w:val="23"/>
        </w:rPr>
        <w:lastRenderedPageBreak/>
        <w:t xml:space="preserve">Sikurse vihet re, në një sërë rastesh, numri i frekuentimit të temave/kurseve nga gjyqtarët që kanë aplikuar për një sesion trajnues, është i ndryshëm nga numri i atyre që kanë ardhur në sesion dhe i ndryshëm nga ai i atyre që kanë frekuentuar rregullisht, aq sa për t’u pajisur me certifikatë. Është pothuajse sa gjysma e atyre që kanë ftesë ose më saktë e atyre që kanë aplikuar e janë pajisur me certifikatë. Po e njëjta situatë paraqitet me prokurorët. </w:t>
      </w:r>
    </w:p>
    <w:p w:rsidR="00B348F7" w:rsidRDefault="00B348F7" w:rsidP="00B348F7">
      <w:pPr>
        <w:spacing w:line="276" w:lineRule="auto"/>
        <w:ind w:firstLine="720"/>
        <w:jc w:val="both"/>
        <w:rPr>
          <w:rFonts w:eastAsia="Calibri"/>
          <w:kern w:val="24"/>
          <w:szCs w:val="23"/>
        </w:rPr>
      </w:pPr>
      <w:r w:rsidRPr="00EE2DE7">
        <w:rPr>
          <w:rFonts w:eastAsia="Calibri"/>
          <w:kern w:val="24"/>
          <w:szCs w:val="23"/>
        </w:rPr>
        <w:t xml:space="preserve">Gjithsesi, pjesëmarrja e gjyqtarëve/prokurorëve në këto veprimtari trajnuese është e kënaqshme. Një pjesë e tyre edhe pse vijnë nga rrethe të largëta, e frekuentojnë me </w:t>
      </w:r>
      <w:r>
        <w:rPr>
          <w:rFonts w:eastAsia="Calibri"/>
          <w:kern w:val="24"/>
          <w:szCs w:val="23"/>
        </w:rPr>
        <w:t>interes</w:t>
      </w:r>
      <w:r w:rsidRPr="00EE2DE7">
        <w:rPr>
          <w:rFonts w:eastAsia="Calibri"/>
          <w:kern w:val="24"/>
          <w:szCs w:val="23"/>
        </w:rPr>
        <w:t xml:space="preserve"> aktivitetin. </w:t>
      </w:r>
    </w:p>
    <w:p w:rsidR="003E7455" w:rsidRPr="00EE2DE7" w:rsidRDefault="003E7455" w:rsidP="00B348F7">
      <w:pPr>
        <w:spacing w:line="276" w:lineRule="auto"/>
        <w:ind w:firstLine="720"/>
        <w:jc w:val="both"/>
        <w:rPr>
          <w:rFonts w:eastAsia="Calibri"/>
          <w:kern w:val="24"/>
          <w:szCs w:val="23"/>
        </w:rPr>
      </w:pPr>
    </w:p>
    <w:p w:rsidR="003E7455" w:rsidRDefault="003E7455" w:rsidP="003E7455">
      <w:pPr>
        <w:spacing w:line="276" w:lineRule="auto"/>
        <w:jc w:val="center"/>
        <w:rPr>
          <w:rFonts w:eastAsia="Calibri"/>
          <w:i/>
          <w:kern w:val="24"/>
        </w:rPr>
      </w:pPr>
      <w:r w:rsidRPr="003E7455">
        <w:rPr>
          <w:rFonts w:eastAsia="Calibri"/>
          <w:noProof/>
          <w:kern w:val="24"/>
          <w:lang w:eastAsia="en-US"/>
        </w:rPr>
        <w:drawing>
          <wp:inline distT="0" distB="0" distL="0" distR="0">
            <wp:extent cx="3996690" cy="2423160"/>
            <wp:effectExtent l="19050" t="0" r="22860" b="0"/>
            <wp:docPr id="3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3E7455">
        <w:rPr>
          <w:rFonts w:eastAsia="Calibri"/>
          <w:i/>
          <w:kern w:val="24"/>
        </w:rPr>
        <w:t xml:space="preserve"> </w:t>
      </w:r>
    </w:p>
    <w:p w:rsidR="003E7455" w:rsidRDefault="003E7455" w:rsidP="003E7455">
      <w:pPr>
        <w:spacing w:line="276" w:lineRule="auto"/>
        <w:jc w:val="center"/>
        <w:rPr>
          <w:rFonts w:eastAsia="Calibri"/>
          <w:i/>
          <w:kern w:val="24"/>
          <w:sz w:val="20"/>
        </w:rPr>
      </w:pPr>
      <w:r w:rsidRPr="003E7455">
        <w:rPr>
          <w:rFonts w:eastAsia="Calibri"/>
          <w:i/>
          <w:kern w:val="24"/>
          <w:sz w:val="20"/>
        </w:rPr>
        <w:t>Grafiku nr.7 Grafik krahasues në përqindje të përbërjes së auditorit me gjyqtar</w:t>
      </w:r>
      <w:r w:rsidRPr="003E7455">
        <w:rPr>
          <w:rFonts w:eastAsia="Calibri"/>
          <w:i/>
          <w:kern w:val="24"/>
          <w:sz w:val="20"/>
          <w:szCs w:val="23"/>
        </w:rPr>
        <w:t>ë</w:t>
      </w:r>
      <w:r w:rsidRPr="003E7455">
        <w:rPr>
          <w:rFonts w:eastAsia="Calibri"/>
          <w:i/>
          <w:kern w:val="24"/>
          <w:sz w:val="20"/>
        </w:rPr>
        <w:t xml:space="preserve"> dhe prokurorë për vitin akademik  2017-2018.</w:t>
      </w:r>
    </w:p>
    <w:p w:rsidR="003E7455" w:rsidRPr="00EE2DE7" w:rsidRDefault="003E7455" w:rsidP="003E7455">
      <w:pPr>
        <w:spacing w:line="276" w:lineRule="auto"/>
        <w:jc w:val="center"/>
        <w:rPr>
          <w:rFonts w:eastAsia="Calibri"/>
          <w:i/>
          <w:kern w:val="24"/>
        </w:rPr>
      </w:pPr>
    </w:p>
    <w:p w:rsidR="003E7455" w:rsidRPr="00EE2DE7" w:rsidRDefault="003E7455" w:rsidP="003E7455">
      <w:pPr>
        <w:spacing w:line="276" w:lineRule="auto"/>
        <w:ind w:firstLine="720"/>
        <w:jc w:val="both"/>
        <w:rPr>
          <w:rFonts w:eastAsia="Calibri"/>
          <w:kern w:val="24"/>
        </w:rPr>
      </w:pPr>
      <w:r w:rsidRPr="00EE2DE7">
        <w:rPr>
          <w:rFonts w:eastAsia="Calibri"/>
          <w:kern w:val="24"/>
        </w:rPr>
        <w:t>Në hartimin e listave për çdo aktivitet, numri i aplikuesve mesatarisht shkon nga një minimum prej 25 (njëzet e pesë) deri në një maksimum prej 55 (pesëdhjet</w:t>
      </w:r>
      <w:r w:rsidRPr="00EE2DE7">
        <w:rPr>
          <w:rFonts w:eastAsia="MS Mincho"/>
          <w:kern w:val="24"/>
        </w:rPr>
        <w:t>ë</w:t>
      </w:r>
      <w:r w:rsidRPr="00EE2DE7">
        <w:rPr>
          <w:rFonts w:eastAsia="Calibri"/>
          <w:kern w:val="24"/>
        </w:rPr>
        <w:t xml:space="preserve"> e pesë) gjyqtarë/prokurorë. Kuptohet, me përjashtim të rasteve kur kërkesat janë më të ulëta apo më të larta. Por, nuk duhet lënë pa p</w:t>
      </w:r>
      <w:r w:rsidRPr="00EE2DE7">
        <w:rPr>
          <w:rFonts w:eastAsia="MS Mincho"/>
          <w:kern w:val="24"/>
        </w:rPr>
        <w:t>ë</w:t>
      </w:r>
      <w:r w:rsidRPr="00EE2DE7">
        <w:rPr>
          <w:rFonts w:eastAsia="Calibri"/>
          <w:kern w:val="24"/>
        </w:rPr>
        <w:t>rmendur fakti se jo të gjithë ata që ftojmë dhe konfirmojnë më pas pjesëmarrjen, janë frekuentues. Kjo bën që, ditën e aktivitetit, numri i tyre të shkojë deri në një mesatare prej 15 (pesëmbëdhjetë) gjyqtarë/prokurorë.</w:t>
      </w:r>
    </w:p>
    <w:p w:rsidR="003E7455" w:rsidRPr="00EE2DE7" w:rsidRDefault="003E7455" w:rsidP="003E7455">
      <w:pPr>
        <w:spacing w:line="276" w:lineRule="auto"/>
        <w:ind w:firstLine="720"/>
        <w:jc w:val="both"/>
        <w:rPr>
          <w:rFonts w:eastAsia="Calibri"/>
          <w:kern w:val="24"/>
        </w:rPr>
      </w:pPr>
      <w:r w:rsidRPr="00EE2DE7">
        <w:rPr>
          <w:rFonts w:eastAsia="Calibri"/>
          <w:kern w:val="24"/>
        </w:rPr>
        <w:t xml:space="preserve">Konstatojmë, se ka disa gjyqtarë e prokurorë që nuk kanë aplikuar asnjëherë dhe nuk kanë marrë pjesë në asnjë sesion trajnues. Këta pa dyshim përbëjnë një grup të kufizuar, por ky fenomen, qoftë edhe në përmasa të tilla të reduktuara, duhet të konsiderohet seriozisht nga KLGJ-ja dhe KLP-ja. </w:t>
      </w:r>
    </w:p>
    <w:p w:rsidR="003E7455" w:rsidRPr="00EE2DE7" w:rsidRDefault="003E7455" w:rsidP="003E7455">
      <w:pPr>
        <w:spacing w:line="276" w:lineRule="auto"/>
        <w:ind w:firstLine="720"/>
        <w:jc w:val="both"/>
        <w:rPr>
          <w:rFonts w:eastAsia="Calibri"/>
          <w:kern w:val="24"/>
        </w:rPr>
      </w:pPr>
      <w:r w:rsidRPr="00EE2DE7">
        <w:rPr>
          <w:rFonts w:eastAsia="Calibri"/>
          <w:kern w:val="24"/>
        </w:rPr>
        <w:t>Me ndryshimet që janë bërë në legjislacion, Formimi Vazhdues është bërë i detyrueshëm për të gjithë gjyqtarët dhe prokurorët, në të njëjtën kohë edhe për subjektet e tjera të parashikuara në ligj, çka nënkupton faktin se konfirmimi dhe marrja pjesë në sesionet trajnuese është tashmë një detyrim ligjor për të gjithë.</w:t>
      </w:r>
    </w:p>
    <w:p w:rsidR="003E7455" w:rsidRPr="00EE2DE7" w:rsidRDefault="003E7455" w:rsidP="003E7455">
      <w:pPr>
        <w:spacing w:line="276" w:lineRule="auto"/>
        <w:ind w:firstLine="720"/>
        <w:jc w:val="both"/>
        <w:rPr>
          <w:rFonts w:eastAsia="Calibri"/>
          <w:kern w:val="24"/>
        </w:rPr>
      </w:pPr>
      <w:r w:rsidRPr="00EE2DE7">
        <w:rPr>
          <w:rFonts w:eastAsia="Calibri"/>
          <w:kern w:val="24"/>
        </w:rPr>
        <w:t>Në këto kushte, Shkolla e Magjistraturës, në bashkëpunim me KLGJ-në dhe KLP-në, do të vijojë të angazhohet për të siguruar një pjesëmarrje më të madhe në aktivitetet trajnuese nga ana e gjyqtarëve dhe prokurorëve.</w:t>
      </w:r>
    </w:p>
    <w:p w:rsidR="003E7455" w:rsidRPr="00EE2DE7" w:rsidRDefault="003E7455" w:rsidP="003E7455">
      <w:pPr>
        <w:spacing w:line="276" w:lineRule="auto"/>
        <w:ind w:firstLine="720"/>
        <w:jc w:val="both"/>
        <w:rPr>
          <w:rFonts w:eastAsia="Calibri"/>
          <w:kern w:val="24"/>
        </w:rPr>
      </w:pPr>
      <w:r w:rsidRPr="00EE2DE7">
        <w:rPr>
          <w:rFonts w:eastAsia="Calibri"/>
          <w:kern w:val="24"/>
        </w:rPr>
        <w:t>Në raste të veçanta Shkolla e Magjistraturës ka informuar Prokurorinë e Përgjithshme dhe KLD-në lidhur me problemet në frekuentim nga individë të caktuar.</w:t>
      </w:r>
    </w:p>
    <w:p w:rsidR="003E7455" w:rsidRPr="00EE2DE7" w:rsidRDefault="003E7455" w:rsidP="003E7455">
      <w:pPr>
        <w:spacing w:line="276" w:lineRule="auto"/>
        <w:ind w:firstLine="720"/>
        <w:jc w:val="both"/>
        <w:rPr>
          <w:rFonts w:eastAsia="Calibri"/>
          <w:kern w:val="24"/>
        </w:rPr>
      </w:pPr>
      <w:r w:rsidRPr="00EE2DE7">
        <w:rPr>
          <w:rFonts w:eastAsia="Calibri"/>
          <w:kern w:val="24"/>
        </w:rPr>
        <w:lastRenderedPageBreak/>
        <w:t>Disa të dhëna statistikore mbi përmbushjen e detyrimit ligjor për pjesëmarrjen në trajnime për gjyqtarë dhe prokurorë për vitin akademik 2017-2018, po i pasqyrojmë si më poshtë përmes një tabele dhe një grafiku:</w:t>
      </w:r>
    </w:p>
    <w:p w:rsidR="003E7455" w:rsidRDefault="003E7455" w:rsidP="003E7455">
      <w:pPr>
        <w:spacing w:line="276" w:lineRule="auto"/>
        <w:ind w:firstLine="720"/>
        <w:jc w:val="both"/>
        <w:rPr>
          <w:rFonts w:eastAsia="Calibri"/>
          <w:kern w:val="24"/>
        </w:rPr>
      </w:pPr>
    </w:p>
    <w:tbl>
      <w:tblPr>
        <w:tblStyle w:val="MediumList2-Accent2"/>
        <w:tblW w:w="5339" w:type="dxa"/>
        <w:tblLook w:val="04A0" w:firstRow="1" w:lastRow="0" w:firstColumn="1" w:lastColumn="0" w:noHBand="0" w:noVBand="1"/>
      </w:tblPr>
      <w:tblGrid>
        <w:gridCol w:w="1523"/>
        <w:gridCol w:w="1785"/>
        <w:gridCol w:w="2031"/>
      </w:tblGrid>
      <w:tr w:rsidR="003E7455" w:rsidRPr="00EE2DE7" w:rsidTr="008D2205">
        <w:trPr>
          <w:cnfStyle w:val="100000000000" w:firstRow="1" w:lastRow="0" w:firstColumn="0" w:lastColumn="0" w:oddVBand="0" w:evenVBand="0" w:oddHBand="0" w:evenHBand="0" w:firstRowFirstColumn="0" w:firstRowLastColumn="0" w:lastRowFirstColumn="0" w:lastRowLastColumn="0"/>
          <w:trHeight w:val="237"/>
        </w:trPr>
        <w:tc>
          <w:tcPr>
            <w:cnfStyle w:val="001000000100" w:firstRow="0" w:lastRow="0" w:firstColumn="1" w:lastColumn="0" w:oddVBand="0" w:evenVBand="0" w:oddHBand="0" w:evenHBand="0" w:firstRowFirstColumn="1" w:firstRowLastColumn="0" w:lastRowFirstColumn="0" w:lastRowLastColumn="0"/>
            <w:tcW w:w="1523" w:type="dxa"/>
            <w:noWrap/>
            <w:hideMark/>
          </w:tcPr>
          <w:p w:rsidR="003E7455" w:rsidRPr="00EE2DE7" w:rsidRDefault="003E7455" w:rsidP="00C86726">
            <w:pPr>
              <w:jc w:val="center"/>
              <w:rPr>
                <w:rFonts w:ascii="Bookman Old Style" w:eastAsia="Times New Roman" w:hAnsi="Bookman Old Style" w:cs="Times New Roman"/>
                <w:b/>
                <w:bCs/>
                <w:kern w:val="24"/>
                <w:sz w:val="23"/>
                <w:szCs w:val="23"/>
              </w:rPr>
            </w:pPr>
            <w:r w:rsidRPr="00EE2DE7">
              <w:rPr>
                <w:rFonts w:ascii="Bookman Old Style" w:eastAsia="Times New Roman" w:hAnsi="Bookman Old Style" w:cs="Times New Roman"/>
                <w:b/>
                <w:bCs/>
                <w:kern w:val="24"/>
                <w:sz w:val="23"/>
                <w:szCs w:val="23"/>
              </w:rPr>
              <w:t>Ditët</w:t>
            </w:r>
          </w:p>
        </w:tc>
        <w:tc>
          <w:tcPr>
            <w:tcW w:w="1785" w:type="dxa"/>
            <w:noWrap/>
            <w:hideMark/>
          </w:tcPr>
          <w:p w:rsidR="003E7455" w:rsidRPr="00EE2DE7" w:rsidRDefault="003E7455" w:rsidP="00C86726">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bCs/>
                <w:kern w:val="24"/>
                <w:sz w:val="23"/>
                <w:szCs w:val="23"/>
              </w:rPr>
            </w:pPr>
            <w:r w:rsidRPr="00EE2DE7">
              <w:rPr>
                <w:rFonts w:ascii="Bookman Old Style" w:eastAsia="Times New Roman" w:hAnsi="Bookman Old Style" w:cs="Times New Roman"/>
                <w:b/>
                <w:bCs/>
                <w:kern w:val="24"/>
                <w:sz w:val="23"/>
                <w:szCs w:val="23"/>
              </w:rPr>
              <w:t>Gjyqtarë</w:t>
            </w:r>
          </w:p>
        </w:tc>
        <w:tc>
          <w:tcPr>
            <w:tcW w:w="2031" w:type="dxa"/>
            <w:noWrap/>
            <w:hideMark/>
          </w:tcPr>
          <w:p w:rsidR="003E7455" w:rsidRPr="00EE2DE7" w:rsidRDefault="003E7455" w:rsidP="00C86726">
            <w:pPr>
              <w:jc w:val="center"/>
              <w:cnfStyle w:val="100000000000" w:firstRow="1" w:lastRow="0" w:firstColumn="0" w:lastColumn="0" w:oddVBand="0" w:evenVBand="0" w:oddHBand="0" w:evenHBand="0" w:firstRowFirstColumn="0" w:firstRowLastColumn="0" w:lastRowFirstColumn="0" w:lastRowLastColumn="0"/>
              <w:rPr>
                <w:rFonts w:ascii="Bookman Old Style" w:eastAsia="Times New Roman" w:hAnsi="Bookman Old Style" w:cs="Times New Roman"/>
                <w:b/>
                <w:bCs/>
                <w:kern w:val="24"/>
                <w:sz w:val="23"/>
                <w:szCs w:val="23"/>
              </w:rPr>
            </w:pPr>
            <w:r w:rsidRPr="00EE2DE7">
              <w:rPr>
                <w:rFonts w:ascii="Bookman Old Style" w:eastAsia="Times New Roman" w:hAnsi="Bookman Old Style" w:cs="Times New Roman"/>
                <w:b/>
                <w:bCs/>
                <w:kern w:val="24"/>
                <w:sz w:val="23"/>
                <w:szCs w:val="23"/>
              </w:rPr>
              <w:t>Prokurorë</w:t>
            </w:r>
          </w:p>
        </w:tc>
      </w:tr>
      <w:tr w:rsidR="003E7455" w:rsidRPr="00EE2DE7" w:rsidTr="008D2205">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1523" w:type="dxa"/>
            <w:noWrap/>
          </w:tcPr>
          <w:p w:rsidR="003E7455" w:rsidRPr="00EE2DE7" w:rsidRDefault="003E7455" w:rsidP="00C86726">
            <w:pPr>
              <w:jc w:val="center"/>
              <w:rPr>
                <w:rFonts w:ascii="Bookman Old Style" w:eastAsia="Times New Roman" w:hAnsi="Bookman Old Style" w:cs="Times New Roman"/>
                <w:bCs/>
                <w:kern w:val="24"/>
                <w:sz w:val="23"/>
                <w:szCs w:val="23"/>
              </w:rPr>
            </w:pPr>
            <w:r w:rsidRPr="00EE2DE7">
              <w:rPr>
                <w:rFonts w:ascii="Bookman Old Style" w:eastAsia="Times New Roman" w:hAnsi="Bookman Old Style" w:cs="Times New Roman"/>
                <w:bCs/>
                <w:kern w:val="24"/>
                <w:sz w:val="23"/>
                <w:szCs w:val="23"/>
              </w:rPr>
              <w:t>0 ditë</w:t>
            </w:r>
          </w:p>
        </w:tc>
        <w:tc>
          <w:tcPr>
            <w:tcW w:w="1785" w:type="dxa"/>
            <w:noWrap/>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Cs/>
                <w:strike/>
                <w:kern w:val="24"/>
                <w:sz w:val="23"/>
                <w:szCs w:val="23"/>
              </w:rPr>
            </w:pPr>
            <w:r w:rsidRPr="00EE2DE7">
              <w:rPr>
                <w:rFonts w:ascii="Bookman Old Style" w:eastAsia="Times New Roman" w:hAnsi="Bookman Old Style" w:cs="Times New Roman"/>
                <w:bCs/>
                <w:kern w:val="24"/>
                <w:sz w:val="23"/>
                <w:szCs w:val="23"/>
              </w:rPr>
              <w:t>15</w:t>
            </w:r>
          </w:p>
        </w:tc>
        <w:tc>
          <w:tcPr>
            <w:tcW w:w="2031" w:type="dxa"/>
            <w:noWrap/>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bCs/>
                <w:strike/>
                <w:kern w:val="24"/>
                <w:sz w:val="23"/>
                <w:szCs w:val="23"/>
              </w:rPr>
            </w:pPr>
            <w:r w:rsidRPr="00EE2DE7">
              <w:rPr>
                <w:rFonts w:ascii="Bookman Old Style" w:eastAsia="Times New Roman" w:hAnsi="Bookman Old Style" w:cs="Times New Roman"/>
                <w:bCs/>
                <w:kern w:val="24"/>
                <w:sz w:val="23"/>
                <w:szCs w:val="23"/>
              </w:rPr>
              <w:t>10</w:t>
            </w:r>
          </w:p>
        </w:tc>
      </w:tr>
      <w:tr w:rsidR="003E7455" w:rsidRPr="00EE2DE7" w:rsidTr="008D2205">
        <w:trPr>
          <w:trHeight w:val="411"/>
        </w:trPr>
        <w:tc>
          <w:tcPr>
            <w:cnfStyle w:val="001000000000" w:firstRow="0" w:lastRow="0" w:firstColumn="1" w:lastColumn="0" w:oddVBand="0" w:evenVBand="0" w:oddHBand="0" w:evenHBand="0" w:firstRowFirstColumn="0" w:firstRowLastColumn="0" w:lastRowFirstColumn="0" w:lastRowLastColumn="0"/>
            <w:tcW w:w="1523" w:type="dxa"/>
            <w:noWrap/>
            <w:hideMark/>
          </w:tcPr>
          <w:p w:rsidR="003E7455" w:rsidRPr="00EE2DE7" w:rsidRDefault="003E7455" w:rsidP="00C86726">
            <w:pPr>
              <w:jc w:val="center"/>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0-1dit</w:t>
            </w:r>
            <w:r w:rsidRPr="00EE2DE7">
              <w:rPr>
                <w:rFonts w:ascii="Times New Roman" w:eastAsia="MS Mincho" w:hAnsi="Times New Roman" w:cs="Times New Roman"/>
                <w:kern w:val="24"/>
              </w:rPr>
              <w:t>ë</w:t>
            </w:r>
          </w:p>
        </w:tc>
        <w:tc>
          <w:tcPr>
            <w:tcW w:w="1785" w:type="dxa"/>
            <w:noWrap/>
            <w:hideMark/>
          </w:tcPr>
          <w:p w:rsidR="003E7455" w:rsidRPr="00EE2DE7" w:rsidRDefault="003E7455" w:rsidP="00C86726">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20</w:t>
            </w:r>
          </w:p>
        </w:tc>
        <w:tc>
          <w:tcPr>
            <w:tcW w:w="2031" w:type="dxa"/>
            <w:noWrap/>
            <w:hideMark/>
          </w:tcPr>
          <w:p w:rsidR="003E7455" w:rsidRPr="00EE2DE7" w:rsidRDefault="003E7455" w:rsidP="00C86726">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strike/>
                <w:kern w:val="24"/>
                <w:sz w:val="23"/>
                <w:szCs w:val="23"/>
              </w:rPr>
            </w:pPr>
            <w:r w:rsidRPr="00EE2DE7">
              <w:rPr>
                <w:rFonts w:ascii="Bookman Old Style" w:eastAsia="Times New Roman" w:hAnsi="Bookman Old Style" w:cs="Times New Roman"/>
                <w:kern w:val="24"/>
                <w:sz w:val="23"/>
                <w:szCs w:val="23"/>
              </w:rPr>
              <w:t>21</w:t>
            </w:r>
          </w:p>
        </w:tc>
      </w:tr>
      <w:tr w:rsidR="003E7455" w:rsidRPr="00EE2DE7" w:rsidTr="008D220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23" w:type="dxa"/>
            <w:noWrap/>
            <w:hideMark/>
          </w:tcPr>
          <w:p w:rsidR="003E7455" w:rsidRPr="00EE2DE7" w:rsidRDefault="003E7455" w:rsidP="00C86726">
            <w:pPr>
              <w:jc w:val="center"/>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1-3 ditë</w:t>
            </w:r>
          </w:p>
        </w:tc>
        <w:tc>
          <w:tcPr>
            <w:tcW w:w="1785" w:type="dxa"/>
            <w:noWrap/>
            <w:hideMark/>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150</w:t>
            </w:r>
          </w:p>
        </w:tc>
        <w:tc>
          <w:tcPr>
            <w:tcW w:w="2031" w:type="dxa"/>
            <w:noWrap/>
            <w:hideMark/>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strike/>
                <w:kern w:val="24"/>
                <w:sz w:val="23"/>
                <w:szCs w:val="23"/>
              </w:rPr>
            </w:pPr>
            <w:r w:rsidRPr="00EE2DE7">
              <w:rPr>
                <w:rFonts w:ascii="Bookman Old Style" w:eastAsia="Times New Roman" w:hAnsi="Bookman Old Style" w:cs="Times New Roman"/>
                <w:kern w:val="24"/>
                <w:sz w:val="23"/>
                <w:szCs w:val="23"/>
              </w:rPr>
              <w:t>100</w:t>
            </w:r>
          </w:p>
        </w:tc>
      </w:tr>
      <w:tr w:rsidR="003E7455" w:rsidRPr="00EE2DE7" w:rsidTr="008D2205">
        <w:trPr>
          <w:trHeight w:val="237"/>
        </w:trPr>
        <w:tc>
          <w:tcPr>
            <w:cnfStyle w:val="001000000000" w:firstRow="0" w:lastRow="0" w:firstColumn="1" w:lastColumn="0" w:oddVBand="0" w:evenVBand="0" w:oddHBand="0" w:evenHBand="0" w:firstRowFirstColumn="0" w:firstRowLastColumn="0" w:lastRowFirstColumn="0" w:lastRowLastColumn="0"/>
            <w:tcW w:w="1523" w:type="dxa"/>
            <w:noWrap/>
            <w:hideMark/>
          </w:tcPr>
          <w:p w:rsidR="003E7455" w:rsidRPr="00EE2DE7" w:rsidRDefault="003E7455" w:rsidP="00C86726">
            <w:pPr>
              <w:jc w:val="center"/>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3-5 ditë</w:t>
            </w:r>
          </w:p>
        </w:tc>
        <w:tc>
          <w:tcPr>
            <w:tcW w:w="1785" w:type="dxa"/>
            <w:noWrap/>
            <w:hideMark/>
          </w:tcPr>
          <w:p w:rsidR="003E7455" w:rsidRPr="00EE2DE7" w:rsidRDefault="003E7455" w:rsidP="00C86726">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140</w:t>
            </w:r>
          </w:p>
        </w:tc>
        <w:tc>
          <w:tcPr>
            <w:tcW w:w="2031" w:type="dxa"/>
            <w:noWrap/>
            <w:hideMark/>
          </w:tcPr>
          <w:p w:rsidR="003E7455" w:rsidRPr="00EE2DE7" w:rsidRDefault="003E7455" w:rsidP="00C86726">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120</w:t>
            </w:r>
          </w:p>
        </w:tc>
      </w:tr>
      <w:tr w:rsidR="003E7455" w:rsidRPr="00EE2DE7" w:rsidTr="008D220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23" w:type="dxa"/>
            <w:noWrap/>
            <w:hideMark/>
          </w:tcPr>
          <w:p w:rsidR="003E7455" w:rsidRPr="00EE2DE7" w:rsidRDefault="003E7455" w:rsidP="00C86726">
            <w:pPr>
              <w:jc w:val="center"/>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5-10 ditë</w:t>
            </w:r>
          </w:p>
        </w:tc>
        <w:tc>
          <w:tcPr>
            <w:tcW w:w="1785" w:type="dxa"/>
            <w:noWrap/>
            <w:hideMark/>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125</w:t>
            </w:r>
          </w:p>
        </w:tc>
        <w:tc>
          <w:tcPr>
            <w:tcW w:w="2031" w:type="dxa"/>
            <w:noWrap/>
            <w:hideMark/>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98</w:t>
            </w:r>
          </w:p>
        </w:tc>
      </w:tr>
      <w:tr w:rsidR="003E7455" w:rsidRPr="00EE2DE7" w:rsidTr="008D2205">
        <w:trPr>
          <w:trHeight w:val="237"/>
        </w:trPr>
        <w:tc>
          <w:tcPr>
            <w:cnfStyle w:val="001000000000" w:firstRow="0" w:lastRow="0" w:firstColumn="1" w:lastColumn="0" w:oddVBand="0" w:evenVBand="0" w:oddHBand="0" w:evenHBand="0" w:firstRowFirstColumn="0" w:firstRowLastColumn="0" w:lastRowFirstColumn="0" w:lastRowLastColumn="0"/>
            <w:tcW w:w="1523" w:type="dxa"/>
            <w:noWrap/>
            <w:hideMark/>
          </w:tcPr>
          <w:p w:rsidR="003E7455" w:rsidRPr="00EE2DE7" w:rsidRDefault="003E7455" w:rsidP="00C86726">
            <w:pPr>
              <w:jc w:val="center"/>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10-20 ditë</w:t>
            </w:r>
          </w:p>
        </w:tc>
        <w:tc>
          <w:tcPr>
            <w:tcW w:w="1785" w:type="dxa"/>
            <w:noWrap/>
            <w:hideMark/>
          </w:tcPr>
          <w:p w:rsidR="003E7455" w:rsidRPr="00EE2DE7" w:rsidRDefault="003E7455" w:rsidP="00C86726">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34</w:t>
            </w:r>
          </w:p>
        </w:tc>
        <w:tc>
          <w:tcPr>
            <w:tcW w:w="2031" w:type="dxa"/>
            <w:noWrap/>
            <w:hideMark/>
          </w:tcPr>
          <w:p w:rsidR="003E7455" w:rsidRPr="00EE2DE7" w:rsidRDefault="003E7455" w:rsidP="00C86726">
            <w:pPr>
              <w:jc w:val="center"/>
              <w:cnfStyle w:val="000000000000" w:firstRow="0" w:lastRow="0" w:firstColumn="0" w:lastColumn="0" w:oddVBand="0" w:evenVBand="0" w:oddHBand="0"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7</w:t>
            </w:r>
          </w:p>
        </w:tc>
      </w:tr>
      <w:tr w:rsidR="003E7455" w:rsidRPr="00EE2DE7" w:rsidTr="008D2205">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1523" w:type="dxa"/>
            <w:noWrap/>
            <w:hideMark/>
          </w:tcPr>
          <w:p w:rsidR="003E7455" w:rsidRPr="00EE2DE7" w:rsidRDefault="003E7455" w:rsidP="00C86726">
            <w:pPr>
              <w:jc w:val="center"/>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mbi 20 ditë</w:t>
            </w:r>
          </w:p>
        </w:tc>
        <w:tc>
          <w:tcPr>
            <w:tcW w:w="1785" w:type="dxa"/>
            <w:noWrap/>
            <w:hideMark/>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2</w:t>
            </w:r>
          </w:p>
        </w:tc>
        <w:tc>
          <w:tcPr>
            <w:tcW w:w="2031" w:type="dxa"/>
            <w:noWrap/>
            <w:hideMark/>
          </w:tcPr>
          <w:p w:rsidR="003E7455" w:rsidRPr="00EE2DE7" w:rsidRDefault="003E7455" w:rsidP="00C86726">
            <w:pPr>
              <w:jc w:val="center"/>
              <w:cnfStyle w:val="000000100000" w:firstRow="0" w:lastRow="0" w:firstColumn="0" w:lastColumn="0" w:oddVBand="0" w:evenVBand="0" w:oddHBand="1" w:evenHBand="0" w:firstRowFirstColumn="0" w:firstRowLastColumn="0" w:lastRowFirstColumn="0" w:lastRowLastColumn="0"/>
              <w:rPr>
                <w:rFonts w:ascii="Bookman Old Style" w:eastAsia="Times New Roman" w:hAnsi="Bookman Old Style" w:cs="Times New Roman"/>
                <w:kern w:val="24"/>
                <w:sz w:val="23"/>
                <w:szCs w:val="23"/>
              </w:rPr>
            </w:pPr>
            <w:r w:rsidRPr="00EE2DE7">
              <w:rPr>
                <w:rFonts w:ascii="Bookman Old Style" w:eastAsia="Times New Roman" w:hAnsi="Bookman Old Style" w:cs="Times New Roman"/>
                <w:kern w:val="24"/>
                <w:sz w:val="23"/>
                <w:szCs w:val="23"/>
              </w:rPr>
              <w:t>1</w:t>
            </w:r>
          </w:p>
        </w:tc>
      </w:tr>
    </w:tbl>
    <w:p w:rsidR="00C86726" w:rsidRDefault="00C86726" w:rsidP="003E7455">
      <w:pPr>
        <w:spacing w:line="276" w:lineRule="auto"/>
        <w:jc w:val="center"/>
        <w:rPr>
          <w:rFonts w:eastAsia="Calibri"/>
          <w:i/>
          <w:kern w:val="24"/>
          <w:sz w:val="20"/>
        </w:rPr>
      </w:pPr>
    </w:p>
    <w:p w:rsidR="00C86726" w:rsidRDefault="003E7455" w:rsidP="00C86726">
      <w:pPr>
        <w:spacing w:line="276" w:lineRule="auto"/>
        <w:jc w:val="center"/>
        <w:rPr>
          <w:rFonts w:eastAsia="Calibri"/>
          <w:i/>
          <w:kern w:val="24"/>
          <w:sz w:val="20"/>
        </w:rPr>
      </w:pPr>
      <w:r w:rsidRPr="00C86726">
        <w:rPr>
          <w:rFonts w:eastAsia="Calibri"/>
          <w:i/>
          <w:kern w:val="24"/>
          <w:sz w:val="20"/>
        </w:rPr>
        <w:t>Tabela nr. 3. Ditët e pjesëmarrjes (në total) në aktivitetet trajnuese për çdo gjyqtar dhe prokuror për vitin akademik 2017-2018</w:t>
      </w: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Default="00C86726" w:rsidP="00C86726">
      <w:pPr>
        <w:spacing w:line="276" w:lineRule="auto"/>
        <w:jc w:val="center"/>
        <w:rPr>
          <w:rFonts w:eastAsia="Calibri"/>
          <w:i/>
          <w:kern w:val="24"/>
          <w:sz w:val="20"/>
        </w:rPr>
      </w:pPr>
    </w:p>
    <w:p w:rsidR="00C86726" w:rsidRPr="00C86726" w:rsidRDefault="00C86726" w:rsidP="00755BAF">
      <w:pPr>
        <w:spacing w:line="276" w:lineRule="auto"/>
        <w:rPr>
          <w:rFonts w:eastAsia="Calibri"/>
          <w:i/>
          <w:kern w:val="24"/>
          <w:sz w:val="20"/>
        </w:rPr>
      </w:pPr>
      <w:r>
        <w:rPr>
          <w:rFonts w:eastAsia="Calibri"/>
          <w:noProof/>
          <w:kern w:val="24"/>
          <w:lang w:eastAsia="en-US"/>
        </w:rPr>
        <w:drawing>
          <wp:anchor distT="0" distB="0" distL="114300" distR="114300" simplePos="0" relativeHeight="251736576" behindDoc="0" locked="0" layoutInCell="1" allowOverlap="1">
            <wp:simplePos x="0" y="0"/>
            <wp:positionH relativeFrom="margin">
              <wp:align>right</wp:align>
            </wp:positionH>
            <wp:positionV relativeFrom="margin">
              <wp:align>center</wp:align>
            </wp:positionV>
            <wp:extent cx="4884420" cy="2697480"/>
            <wp:effectExtent l="19050" t="0" r="11430" b="7620"/>
            <wp:wrapSquare wrapText="bothSides"/>
            <wp:docPr id="3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C86726" w:rsidRPr="00C86726" w:rsidRDefault="00C86726" w:rsidP="00C86726">
      <w:pPr>
        <w:spacing w:line="276" w:lineRule="auto"/>
        <w:rPr>
          <w:rFonts w:eastAsia="Calibri"/>
          <w:i/>
          <w:kern w:val="24"/>
          <w:sz w:val="20"/>
        </w:rPr>
      </w:pPr>
      <w:r w:rsidRPr="00C86726">
        <w:rPr>
          <w:rFonts w:eastAsia="Calibri"/>
          <w:i/>
          <w:kern w:val="24"/>
          <w:sz w:val="20"/>
        </w:rPr>
        <w:t>Grafiku nr. 8 Ditët e trajnimit për kategoritë gjyqtar dhe prokuror për vitin akademik 2017-2018</w:t>
      </w:r>
    </w:p>
    <w:p w:rsidR="00B348F7" w:rsidRDefault="00B348F7" w:rsidP="009D3274">
      <w:pPr>
        <w:tabs>
          <w:tab w:val="left" w:pos="10260"/>
        </w:tabs>
        <w:jc w:val="both"/>
      </w:pPr>
    </w:p>
    <w:p w:rsidR="00C86726" w:rsidRDefault="00C86726" w:rsidP="009D3274">
      <w:pPr>
        <w:tabs>
          <w:tab w:val="left" w:pos="10260"/>
        </w:tabs>
        <w:jc w:val="both"/>
      </w:pPr>
    </w:p>
    <w:p w:rsidR="00755BAF" w:rsidRDefault="00755BAF" w:rsidP="009D3274">
      <w:pPr>
        <w:tabs>
          <w:tab w:val="left" w:pos="10260"/>
        </w:tabs>
        <w:jc w:val="both"/>
      </w:pPr>
    </w:p>
    <w:tbl>
      <w:tblPr>
        <w:tblStyle w:val="MediumList2-Accent2"/>
        <w:tblW w:w="3024" w:type="dxa"/>
        <w:tblInd w:w="3624" w:type="dxa"/>
        <w:tblLook w:val="04A0" w:firstRow="1" w:lastRow="0" w:firstColumn="1" w:lastColumn="0" w:noHBand="0" w:noVBand="1"/>
      </w:tblPr>
      <w:tblGrid>
        <w:gridCol w:w="1512"/>
        <w:gridCol w:w="1512"/>
      </w:tblGrid>
      <w:tr w:rsidR="00C86726" w:rsidRPr="00A06BA5" w:rsidTr="008B30BD">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1512" w:type="dxa"/>
            <w:noWrap/>
            <w:hideMark/>
          </w:tcPr>
          <w:p w:rsidR="00C86726" w:rsidRPr="00A06BA5" w:rsidRDefault="00C86726" w:rsidP="002737A9">
            <w:pPr>
              <w:rPr>
                <w:rFonts w:ascii="Times New Roman" w:eastAsia="Times New Roman" w:hAnsi="Times New Roman" w:cs="Times New Roman"/>
                <w:b/>
                <w:bCs/>
                <w:kern w:val="24"/>
                <w:sz w:val="23"/>
                <w:szCs w:val="23"/>
              </w:rPr>
            </w:pPr>
            <w:r w:rsidRPr="00A06BA5">
              <w:rPr>
                <w:rFonts w:ascii="Times New Roman" w:eastAsia="Times New Roman" w:hAnsi="Times New Roman" w:cs="Times New Roman"/>
                <w:b/>
                <w:bCs/>
                <w:kern w:val="24"/>
                <w:sz w:val="23"/>
                <w:szCs w:val="23"/>
              </w:rPr>
              <w:t>Ditët</w:t>
            </w:r>
          </w:p>
        </w:tc>
        <w:tc>
          <w:tcPr>
            <w:tcW w:w="1512" w:type="dxa"/>
          </w:tcPr>
          <w:p w:rsidR="00C86726" w:rsidRPr="00A06BA5" w:rsidRDefault="00C86726" w:rsidP="002737A9">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 w:val="23"/>
                <w:szCs w:val="23"/>
              </w:rPr>
            </w:pPr>
            <w:r w:rsidRPr="00A06BA5">
              <w:rPr>
                <w:rFonts w:ascii="Times New Roman" w:eastAsia="Times New Roman" w:hAnsi="Times New Roman" w:cs="Times New Roman"/>
                <w:b/>
                <w:bCs/>
                <w:kern w:val="24"/>
                <w:sz w:val="23"/>
                <w:szCs w:val="23"/>
              </w:rPr>
              <w:t>Prokurorë</w:t>
            </w:r>
          </w:p>
        </w:tc>
      </w:tr>
      <w:tr w:rsidR="00C86726" w:rsidRPr="00A06BA5" w:rsidTr="008B30B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12" w:type="dxa"/>
            <w:noWrap/>
            <w:hideMark/>
          </w:tcPr>
          <w:p w:rsidR="00C86726" w:rsidRPr="00A06BA5" w:rsidRDefault="00C86726" w:rsidP="002737A9">
            <w:pP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0 dit</w:t>
            </w:r>
            <w:r w:rsidRPr="00A06BA5">
              <w:rPr>
                <w:rFonts w:ascii="Times New Roman" w:eastAsia="MS Mincho" w:hAnsi="Times New Roman" w:cs="Times New Roman"/>
                <w:kern w:val="24"/>
              </w:rPr>
              <w:t>ë</w:t>
            </w:r>
          </w:p>
        </w:tc>
        <w:tc>
          <w:tcPr>
            <w:tcW w:w="1512" w:type="dxa"/>
          </w:tcPr>
          <w:p w:rsidR="00C86726" w:rsidRPr="00A06BA5" w:rsidRDefault="00C86726" w:rsidP="00273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trike/>
                <w:kern w:val="24"/>
                <w:sz w:val="23"/>
                <w:szCs w:val="23"/>
              </w:rPr>
            </w:pPr>
            <w:r w:rsidRPr="00A06BA5">
              <w:rPr>
                <w:rFonts w:ascii="Times New Roman" w:eastAsia="Times New Roman" w:hAnsi="Times New Roman" w:cs="Times New Roman"/>
                <w:bCs/>
                <w:kern w:val="24"/>
                <w:sz w:val="23"/>
                <w:szCs w:val="23"/>
              </w:rPr>
              <w:t>10</w:t>
            </w:r>
          </w:p>
        </w:tc>
      </w:tr>
      <w:tr w:rsidR="00C86726" w:rsidRPr="00A06BA5" w:rsidTr="008B30BD">
        <w:trPr>
          <w:trHeight w:val="261"/>
        </w:trPr>
        <w:tc>
          <w:tcPr>
            <w:cnfStyle w:val="001000000000" w:firstRow="0" w:lastRow="0" w:firstColumn="1" w:lastColumn="0" w:oddVBand="0" w:evenVBand="0" w:oddHBand="0" w:evenHBand="0" w:firstRowFirstColumn="0" w:firstRowLastColumn="0" w:lastRowFirstColumn="0" w:lastRowLastColumn="0"/>
            <w:tcW w:w="1512" w:type="dxa"/>
            <w:noWrap/>
            <w:hideMark/>
          </w:tcPr>
          <w:p w:rsidR="00C86726" w:rsidRPr="00A06BA5" w:rsidRDefault="00C86726" w:rsidP="002737A9">
            <w:pPr>
              <w:rPr>
                <w:rFonts w:ascii="Times New Roman" w:eastAsia="Times New Roman" w:hAnsi="Times New Roman" w:cs="Times New Roman"/>
                <w:kern w:val="24"/>
                <w:sz w:val="23"/>
                <w:szCs w:val="23"/>
              </w:rPr>
            </w:pPr>
            <w:r>
              <w:rPr>
                <w:rFonts w:ascii="Times New Roman" w:eastAsia="Times New Roman" w:hAnsi="Times New Roman" w:cs="Times New Roman"/>
                <w:kern w:val="24"/>
                <w:sz w:val="23"/>
                <w:szCs w:val="23"/>
              </w:rPr>
              <w:t xml:space="preserve"> </w:t>
            </w:r>
            <w:r w:rsidRPr="00A06BA5">
              <w:rPr>
                <w:rFonts w:ascii="Times New Roman" w:eastAsia="Times New Roman" w:hAnsi="Times New Roman" w:cs="Times New Roman"/>
                <w:kern w:val="24"/>
                <w:sz w:val="23"/>
                <w:szCs w:val="23"/>
              </w:rPr>
              <w:t>0-1 ditë</w:t>
            </w:r>
          </w:p>
        </w:tc>
        <w:tc>
          <w:tcPr>
            <w:tcW w:w="1512" w:type="dxa"/>
          </w:tcPr>
          <w:p w:rsidR="00C86726" w:rsidRPr="00A06BA5" w:rsidRDefault="00C86726" w:rsidP="00273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trike/>
                <w:kern w:val="24"/>
                <w:sz w:val="23"/>
                <w:szCs w:val="23"/>
              </w:rPr>
            </w:pPr>
            <w:r w:rsidRPr="00A06BA5">
              <w:rPr>
                <w:rFonts w:ascii="Times New Roman" w:eastAsia="Times New Roman" w:hAnsi="Times New Roman" w:cs="Times New Roman"/>
                <w:kern w:val="24"/>
                <w:sz w:val="23"/>
                <w:szCs w:val="23"/>
              </w:rPr>
              <w:t>21</w:t>
            </w:r>
          </w:p>
        </w:tc>
      </w:tr>
      <w:tr w:rsidR="00C86726" w:rsidRPr="00A06BA5" w:rsidTr="008B30B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12" w:type="dxa"/>
            <w:noWrap/>
            <w:hideMark/>
          </w:tcPr>
          <w:p w:rsidR="00C86726" w:rsidRPr="00A06BA5" w:rsidRDefault="00C86726" w:rsidP="002737A9">
            <w:pP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1-3 ditë</w:t>
            </w:r>
          </w:p>
        </w:tc>
        <w:tc>
          <w:tcPr>
            <w:tcW w:w="1512" w:type="dxa"/>
          </w:tcPr>
          <w:p w:rsidR="00C86726" w:rsidRPr="00A06BA5" w:rsidRDefault="00C86726" w:rsidP="00273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trike/>
                <w:kern w:val="24"/>
                <w:sz w:val="23"/>
                <w:szCs w:val="23"/>
              </w:rPr>
            </w:pPr>
            <w:r w:rsidRPr="00A06BA5">
              <w:rPr>
                <w:rFonts w:ascii="Times New Roman" w:eastAsia="Times New Roman" w:hAnsi="Times New Roman" w:cs="Times New Roman"/>
                <w:kern w:val="24"/>
                <w:sz w:val="23"/>
                <w:szCs w:val="23"/>
              </w:rPr>
              <w:t>100</w:t>
            </w:r>
          </w:p>
        </w:tc>
      </w:tr>
      <w:tr w:rsidR="00C86726" w:rsidRPr="00A06BA5" w:rsidTr="008B30BD">
        <w:trPr>
          <w:trHeight w:val="261"/>
        </w:trPr>
        <w:tc>
          <w:tcPr>
            <w:cnfStyle w:val="001000000000" w:firstRow="0" w:lastRow="0" w:firstColumn="1" w:lastColumn="0" w:oddVBand="0" w:evenVBand="0" w:oddHBand="0" w:evenHBand="0" w:firstRowFirstColumn="0" w:firstRowLastColumn="0" w:lastRowFirstColumn="0" w:lastRowLastColumn="0"/>
            <w:tcW w:w="1512" w:type="dxa"/>
            <w:noWrap/>
            <w:hideMark/>
          </w:tcPr>
          <w:p w:rsidR="00C86726" w:rsidRPr="00A06BA5" w:rsidRDefault="00C86726" w:rsidP="002737A9">
            <w:pP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3-5 ditë</w:t>
            </w:r>
          </w:p>
        </w:tc>
        <w:tc>
          <w:tcPr>
            <w:tcW w:w="1512" w:type="dxa"/>
          </w:tcPr>
          <w:p w:rsidR="00C86726" w:rsidRPr="00A06BA5" w:rsidRDefault="00C86726" w:rsidP="00273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120</w:t>
            </w:r>
          </w:p>
        </w:tc>
      </w:tr>
      <w:tr w:rsidR="00C86726" w:rsidRPr="00A06BA5" w:rsidTr="008B30B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12" w:type="dxa"/>
            <w:noWrap/>
            <w:hideMark/>
          </w:tcPr>
          <w:p w:rsidR="00C86726" w:rsidRPr="00A06BA5" w:rsidRDefault="00C86726" w:rsidP="002737A9">
            <w:pP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5-10 ditë</w:t>
            </w:r>
          </w:p>
        </w:tc>
        <w:tc>
          <w:tcPr>
            <w:tcW w:w="1512" w:type="dxa"/>
          </w:tcPr>
          <w:p w:rsidR="00C86726" w:rsidRPr="00A06BA5" w:rsidRDefault="00C86726" w:rsidP="00273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98</w:t>
            </w:r>
          </w:p>
        </w:tc>
      </w:tr>
      <w:tr w:rsidR="00C86726" w:rsidRPr="00A06BA5" w:rsidTr="008B30BD">
        <w:trPr>
          <w:trHeight w:val="261"/>
        </w:trPr>
        <w:tc>
          <w:tcPr>
            <w:cnfStyle w:val="001000000000" w:firstRow="0" w:lastRow="0" w:firstColumn="1" w:lastColumn="0" w:oddVBand="0" w:evenVBand="0" w:oddHBand="0" w:evenHBand="0" w:firstRowFirstColumn="0" w:firstRowLastColumn="0" w:lastRowFirstColumn="0" w:lastRowLastColumn="0"/>
            <w:tcW w:w="1512" w:type="dxa"/>
            <w:noWrap/>
            <w:hideMark/>
          </w:tcPr>
          <w:p w:rsidR="00C86726" w:rsidRPr="00A06BA5" w:rsidRDefault="00C86726" w:rsidP="002737A9">
            <w:pP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10-20 ditë</w:t>
            </w:r>
          </w:p>
        </w:tc>
        <w:tc>
          <w:tcPr>
            <w:tcW w:w="1512" w:type="dxa"/>
          </w:tcPr>
          <w:p w:rsidR="00C86726" w:rsidRPr="00A06BA5" w:rsidRDefault="00C86726" w:rsidP="002737A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7</w:t>
            </w:r>
          </w:p>
        </w:tc>
      </w:tr>
      <w:tr w:rsidR="00C86726" w:rsidRPr="00A06BA5" w:rsidTr="008B30BD">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512" w:type="dxa"/>
            <w:noWrap/>
          </w:tcPr>
          <w:p w:rsidR="00C86726" w:rsidRPr="00A06BA5" w:rsidRDefault="00C86726" w:rsidP="002737A9">
            <w:pP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mbi 20 ditë</w:t>
            </w:r>
          </w:p>
        </w:tc>
        <w:tc>
          <w:tcPr>
            <w:tcW w:w="1512" w:type="dxa"/>
          </w:tcPr>
          <w:p w:rsidR="00C86726" w:rsidRPr="00A06BA5" w:rsidRDefault="00C86726" w:rsidP="002737A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w:t>
            </w:r>
          </w:p>
        </w:tc>
      </w:tr>
    </w:tbl>
    <w:p w:rsidR="00B348F7" w:rsidRDefault="00B348F7" w:rsidP="009D3274">
      <w:pPr>
        <w:tabs>
          <w:tab w:val="left" w:pos="10260"/>
        </w:tabs>
        <w:jc w:val="both"/>
      </w:pPr>
    </w:p>
    <w:p w:rsidR="00C86726" w:rsidRPr="00C86726" w:rsidRDefault="00C86726" w:rsidP="00C86726">
      <w:pPr>
        <w:tabs>
          <w:tab w:val="left" w:pos="7320"/>
        </w:tabs>
        <w:spacing w:after="200" w:line="276" w:lineRule="auto"/>
        <w:rPr>
          <w:rFonts w:eastAsia="Calibri"/>
          <w:i/>
          <w:kern w:val="24"/>
          <w:sz w:val="20"/>
        </w:rPr>
      </w:pPr>
      <w:r w:rsidRPr="00C86726">
        <w:rPr>
          <w:rFonts w:eastAsia="Calibri"/>
          <w:i/>
          <w:kern w:val="24"/>
          <w:sz w:val="20"/>
        </w:rPr>
        <w:t>Tabela nr. 4 Ditët e trajnimit për çdo prokuror pjesëmarrës në sesionet trajnuese për vitin akademik 2017-2018</w:t>
      </w:r>
    </w:p>
    <w:p w:rsidR="00B348F7" w:rsidRDefault="00C86726" w:rsidP="009D3274">
      <w:pPr>
        <w:tabs>
          <w:tab w:val="left" w:pos="10260"/>
        </w:tabs>
        <w:jc w:val="both"/>
      </w:pPr>
      <w:r w:rsidRPr="00C86726">
        <w:rPr>
          <w:noProof/>
          <w:lang w:eastAsia="en-US"/>
        </w:rPr>
        <w:lastRenderedPageBreak/>
        <w:drawing>
          <wp:anchor distT="0" distB="0" distL="114300" distR="114300" simplePos="0" relativeHeight="251737600" behindDoc="0" locked="0" layoutInCell="1" allowOverlap="1">
            <wp:simplePos x="651510" y="632460"/>
            <wp:positionH relativeFrom="margin">
              <wp:align>left</wp:align>
            </wp:positionH>
            <wp:positionV relativeFrom="margin">
              <wp:align>top</wp:align>
            </wp:positionV>
            <wp:extent cx="4758690" cy="2461260"/>
            <wp:effectExtent l="19050" t="0" r="22860" b="0"/>
            <wp:wrapSquare wrapText="bothSides"/>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8B30BD" w:rsidRPr="008B30BD" w:rsidRDefault="008B30BD" w:rsidP="008B30BD">
      <w:pPr>
        <w:spacing w:line="276" w:lineRule="auto"/>
        <w:rPr>
          <w:rFonts w:eastAsia="Calibri"/>
          <w:i/>
          <w:kern w:val="24"/>
          <w:sz w:val="20"/>
        </w:rPr>
      </w:pPr>
      <w:r w:rsidRPr="008B30BD">
        <w:rPr>
          <w:rFonts w:eastAsia="Calibri"/>
          <w:i/>
          <w:kern w:val="24"/>
          <w:sz w:val="20"/>
        </w:rPr>
        <w:t>Grafiku nr. 9 Ditët e trajnimit (totali i tyre) për kategorinë prokuror për vitin akademik  2017-2018</w:t>
      </w: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tbl>
      <w:tblPr>
        <w:tblStyle w:val="MediumList2-Accent2"/>
        <w:tblpPr w:leftFromText="180" w:rightFromText="180" w:vertAnchor="text" w:horzAnchor="margin" w:tblpXSpec="right" w:tblpY="102"/>
        <w:tblW w:w="3588" w:type="dxa"/>
        <w:tblLook w:val="04A0" w:firstRow="1" w:lastRow="0" w:firstColumn="1" w:lastColumn="0" w:noHBand="0" w:noVBand="1"/>
      </w:tblPr>
      <w:tblGrid>
        <w:gridCol w:w="1794"/>
        <w:gridCol w:w="1794"/>
      </w:tblGrid>
      <w:tr w:rsidR="008B30BD" w:rsidRPr="00A06BA5" w:rsidTr="008B30BD">
        <w:trPr>
          <w:cnfStyle w:val="100000000000" w:firstRow="1" w:lastRow="0" w:firstColumn="0" w:lastColumn="0" w:oddVBand="0" w:evenVBand="0" w:oddHBand="0" w:evenHBand="0" w:firstRowFirstColumn="0" w:firstRowLastColumn="0" w:lastRowFirstColumn="0" w:lastRowLastColumn="0"/>
          <w:trHeight w:val="383"/>
        </w:trPr>
        <w:tc>
          <w:tcPr>
            <w:cnfStyle w:val="001000000100" w:firstRow="0" w:lastRow="0" w:firstColumn="1" w:lastColumn="0" w:oddVBand="0" w:evenVBand="0" w:oddHBand="0" w:evenHBand="0" w:firstRowFirstColumn="1"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b/>
                <w:bCs/>
                <w:kern w:val="24"/>
                <w:sz w:val="23"/>
                <w:szCs w:val="23"/>
              </w:rPr>
            </w:pPr>
            <w:r w:rsidRPr="00A06BA5">
              <w:rPr>
                <w:rFonts w:ascii="Times New Roman" w:eastAsia="Times New Roman" w:hAnsi="Times New Roman" w:cs="Times New Roman"/>
                <w:b/>
                <w:bCs/>
                <w:kern w:val="24"/>
                <w:sz w:val="23"/>
                <w:szCs w:val="23"/>
              </w:rPr>
              <w:t>Ditët</w:t>
            </w:r>
          </w:p>
        </w:tc>
        <w:tc>
          <w:tcPr>
            <w:tcW w:w="1794" w:type="dxa"/>
          </w:tcPr>
          <w:p w:rsidR="008B30BD" w:rsidRPr="00A06BA5" w:rsidRDefault="008B30BD" w:rsidP="008B30B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24"/>
                <w:sz w:val="23"/>
                <w:szCs w:val="23"/>
              </w:rPr>
            </w:pPr>
            <w:r w:rsidRPr="00A06BA5">
              <w:rPr>
                <w:rFonts w:ascii="Times New Roman" w:eastAsia="Times New Roman" w:hAnsi="Times New Roman" w:cs="Times New Roman"/>
                <w:b/>
                <w:bCs/>
                <w:kern w:val="24"/>
                <w:sz w:val="23"/>
                <w:szCs w:val="23"/>
              </w:rPr>
              <w:t>Gjyqtarë</w:t>
            </w:r>
          </w:p>
        </w:tc>
      </w:tr>
      <w:tr w:rsidR="008B30BD" w:rsidRPr="00A06BA5" w:rsidTr="008B30B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0 ditë</w:t>
            </w:r>
          </w:p>
        </w:tc>
        <w:tc>
          <w:tcPr>
            <w:tcW w:w="1794" w:type="dxa"/>
          </w:tcPr>
          <w:p w:rsidR="008B30BD" w:rsidRPr="00A06BA5" w:rsidRDefault="008B30BD" w:rsidP="008B30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trike/>
                <w:kern w:val="24"/>
                <w:sz w:val="23"/>
                <w:szCs w:val="23"/>
              </w:rPr>
            </w:pPr>
            <w:r w:rsidRPr="00A06BA5">
              <w:rPr>
                <w:rFonts w:ascii="Times New Roman" w:eastAsia="Times New Roman" w:hAnsi="Times New Roman" w:cs="Times New Roman"/>
                <w:bCs/>
                <w:kern w:val="24"/>
                <w:sz w:val="23"/>
                <w:szCs w:val="23"/>
              </w:rPr>
              <w:t>15</w:t>
            </w:r>
          </w:p>
        </w:tc>
      </w:tr>
      <w:tr w:rsidR="008B30BD" w:rsidRPr="00A06BA5" w:rsidTr="008B30BD">
        <w:trPr>
          <w:trHeight w:val="260"/>
        </w:trPr>
        <w:tc>
          <w:tcPr>
            <w:cnfStyle w:val="001000000000" w:firstRow="0" w:lastRow="0" w:firstColumn="1" w:lastColumn="0" w:oddVBand="0" w:evenVBand="0" w:oddHBand="0" w:evenHBand="0" w:firstRowFirstColumn="0"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0-1 ditë</w:t>
            </w:r>
          </w:p>
        </w:tc>
        <w:tc>
          <w:tcPr>
            <w:tcW w:w="1794" w:type="dxa"/>
          </w:tcPr>
          <w:p w:rsidR="008B30BD" w:rsidRPr="00A06BA5" w:rsidRDefault="008B30BD" w:rsidP="008B30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20</w:t>
            </w:r>
          </w:p>
        </w:tc>
      </w:tr>
      <w:tr w:rsidR="008B30BD" w:rsidRPr="00A06BA5" w:rsidTr="008B30BD">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1-3 ditë</w:t>
            </w:r>
          </w:p>
        </w:tc>
        <w:tc>
          <w:tcPr>
            <w:tcW w:w="1794" w:type="dxa"/>
          </w:tcPr>
          <w:p w:rsidR="008B30BD" w:rsidRPr="00A06BA5" w:rsidRDefault="008B30BD" w:rsidP="008B30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150</w:t>
            </w:r>
          </w:p>
        </w:tc>
      </w:tr>
      <w:tr w:rsidR="008B30BD" w:rsidRPr="00A06BA5" w:rsidTr="008B30BD">
        <w:trPr>
          <w:trHeight w:val="251"/>
        </w:trPr>
        <w:tc>
          <w:tcPr>
            <w:cnfStyle w:val="001000000000" w:firstRow="0" w:lastRow="0" w:firstColumn="1" w:lastColumn="0" w:oddVBand="0" w:evenVBand="0" w:oddHBand="0" w:evenHBand="0" w:firstRowFirstColumn="0"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3-5 ditë</w:t>
            </w:r>
          </w:p>
        </w:tc>
        <w:tc>
          <w:tcPr>
            <w:tcW w:w="1794" w:type="dxa"/>
          </w:tcPr>
          <w:p w:rsidR="008B30BD" w:rsidRPr="00A06BA5" w:rsidRDefault="008B30BD" w:rsidP="008B30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140</w:t>
            </w:r>
          </w:p>
        </w:tc>
      </w:tr>
      <w:tr w:rsidR="008B30BD" w:rsidRPr="00A06BA5" w:rsidTr="008B30B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5-10 ditë</w:t>
            </w:r>
          </w:p>
        </w:tc>
        <w:tc>
          <w:tcPr>
            <w:tcW w:w="1794" w:type="dxa"/>
          </w:tcPr>
          <w:p w:rsidR="008B30BD" w:rsidRPr="00A06BA5" w:rsidRDefault="008B30BD" w:rsidP="008B30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125</w:t>
            </w:r>
          </w:p>
        </w:tc>
      </w:tr>
      <w:tr w:rsidR="008B30BD" w:rsidRPr="00A06BA5" w:rsidTr="008B30BD">
        <w:trPr>
          <w:trHeight w:val="251"/>
        </w:trPr>
        <w:tc>
          <w:tcPr>
            <w:cnfStyle w:val="001000000000" w:firstRow="0" w:lastRow="0" w:firstColumn="1" w:lastColumn="0" w:oddVBand="0" w:evenVBand="0" w:oddHBand="0" w:evenHBand="0" w:firstRowFirstColumn="0"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10-20 ditë</w:t>
            </w:r>
          </w:p>
        </w:tc>
        <w:tc>
          <w:tcPr>
            <w:tcW w:w="1794" w:type="dxa"/>
          </w:tcPr>
          <w:p w:rsidR="008B30BD" w:rsidRPr="00A06BA5" w:rsidRDefault="008B30BD" w:rsidP="008B30B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34</w:t>
            </w:r>
          </w:p>
        </w:tc>
      </w:tr>
      <w:tr w:rsidR="008B30BD" w:rsidRPr="00A06BA5" w:rsidTr="008B30BD">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794" w:type="dxa"/>
            <w:noWrap/>
            <w:hideMark/>
          </w:tcPr>
          <w:p w:rsidR="008B30BD" w:rsidRPr="00A06BA5" w:rsidRDefault="008B30BD" w:rsidP="008B30BD">
            <w:pPr>
              <w:jc w:val="center"/>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mbi 20 ditë</w:t>
            </w:r>
          </w:p>
        </w:tc>
        <w:tc>
          <w:tcPr>
            <w:tcW w:w="1794" w:type="dxa"/>
          </w:tcPr>
          <w:p w:rsidR="008B30BD" w:rsidRPr="00A06BA5" w:rsidRDefault="008B30BD" w:rsidP="008B30B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3"/>
                <w:szCs w:val="23"/>
              </w:rPr>
            </w:pPr>
            <w:r w:rsidRPr="00A06BA5">
              <w:rPr>
                <w:rFonts w:ascii="Times New Roman" w:eastAsia="Times New Roman" w:hAnsi="Times New Roman" w:cs="Times New Roman"/>
                <w:kern w:val="24"/>
                <w:sz w:val="23"/>
                <w:szCs w:val="23"/>
              </w:rPr>
              <w:t>2</w:t>
            </w:r>
          </w:p>
        </w:tc>
      </w:tr>
    </w:tbl>
    <w:p w:rsidR="008B30BD" w:rsidRPr="00254678" w:rsidRDefault="008B30BD" w:rsidP="008B30BD">
      <w:pPr>
        <w:tabs>
          <w:tab w:val="left" w:pos="1000"/>
          <w:tab w:val="left" w:pos="7400"/>
        </w:tabs>
        <w:spacing w:after="200" w:line="276" w:lineRule="auto"/>
        <w:rPr>
          <w:rFonts w:ascii="Bookman Old Style" w:eastAsia="Calibri" w:hAnsi="Bookman Old Style" w:cs="Calibri"/>
          <w:b/>
          <w:kern w:val="24"/>
          <w:sz w:val="8"/>
          <w:szCs w:val="20"/>
          <w:u w:val="single"/>
        </w:rPr>
      </w:pPr>
    </w:p>
    <w:p w:rsidR="008B30BD" w:rsidRPr="00EE2DE7" w:rsidRDefault="008B30BD" w:rsidP="008B30BD">
      <w:pPr>
        <w:rPr>
          <w:rFonts w:eastAsia="Calibri"/>
          <w:i/>
          <w:kern w:val="24"/>
        </w:rPr>
      </w:pPr>
    </w:p>
    <w:p w:rsidR="008B30BD" w:rsidRDefault="008B30BD" w:rsidP="008B30BD">
      <w:pPr>
        <w:rPr>
          <w:rFonts w:eastAsia="Calibri"/>
          <w:i/>
          <w:kern w:val="24"/>
          <w:sz w:val="20"/>
        </w:rPr>
      </w:pPr>
      <w:r w:rsidRPr="008B30BD">
        <w:rPr>
          <w:rFonts w:eastAsia="Calibri"/>
          <w:i/>
          <w:kern w:val="24"/>
          <w:sz w:val="20"/>
        </w:rPr>
        <w:t>Tabela nr. 5 Ditët e trajnimit për çdo gjyqtar pjesëmarrës në sesionet trajnuese për vitin akademik 2017-2018</w:t>
      </w:r>
    </w:p>
    <w:p w:rsidR="008B30BD" w:rsidRDefault="008B30BD" w:rsidP="008B30BD">
      <w:pPr>
        <w:rPr>
          <w:rFonts w:eastAsia="Calibri"/>
          <w:i/>
          <w:kern w:val="24"/>
          <w:sz w:val="20"/>
        </w:rPr>
      </w:pPr>
    </w:p>
    <w:p w:rsidR="008B30BD" w:rsidRDefault="008B30BD" w:rsidP="008B30BD">
      <w:pPr>
        <w:rPr>
          <w:rFonts w:eastAsia="Calibri"/>
          <w:i/>
          <w:kern w:val="24"/>
          <w:sz w:val="20"/>
        </w:rPr>
      </w:pPr>
    </w:p>
    <w:p w:rsidR="008B30BD" w:rsidRDefault="008B30BD" w:rsidP="008B30BD">
      <w:pPr>
        <w:rPr>
          <w:rFonts w:eastAsia="Calibri"/>
          <w:i/>
          <w:kern w:val="24"/>
          <w:sz w:val="20"/>
        </w:rPr>
      </w:pPr>
    </w:p>
    <w:p w:rsidR="008B30BD" w:rsidRDefault="008B30BD" w:rsidP="008B30BD">
      <w:pPr>
        <w:rPr>
          <w:rFonts w:eastAsia="Calibri"/>
          <w:i/>
          <w:kern w:val="24"/>
          <w:sz w:val="20"/>
        </w:rPr>
      </w:pPr>
    </w:p>
    <w:p w:rsidR="008B30BD" w:rsidRDefault="008B30BD" w:rsidP="008B30BD">
      <w:pPr>
        <w:rPr>
          <w:rFonts w:eastAsia="Calibri"/>
          <w:i/>
          <w:kern w:val="24"/>
          <w:sz w:val="20"/>
        </w:rPr>
      </w:pPr>
    </w:p>
    <w:p w:rsidR="008B30BD" w:rsidRDefault="008B30BD" w:rsidP="008B30BD">
      <w:pPr>
        <w:rPr>
          <w:rFonts w:eastAsia="Calibri"/>
          <w:i/>
          <w:kern w:val="24"/>
          <w:sz w:val="20"/>
        </w:rPr>
      </w:pPr>
    </w:p>
    <w:p w:rsidR="008B30BD" w:rsidRPr="008B30BD" w:rsidRDefault="008B30BD" w:rsidP="008B30BD">
      <w:pPr>
        <w:rPr>
          <w:rFonts w:eastAsia="Calibri"/>
          <w:i/>
          <w:kern w:val="24"/>
          <w:sz w:val="20"/>
        </w:rPr>
      </w:pPr>
    </w:p>
    <w:p w:rsidR="008B30BD" w:rsidRPr="00EE2DE7" w:rsidRDefault="008B30BD" w:rsidP="008B30BD">
      <w:pPr>
        <w:spacing w:line="276" w:lineRule="auto"/>
        <w:rPr>
          <w:rFonts w:eastAsia="Calibri"/>
          <w:b/>
          <w:kern w:val="24"/>
        </w:rPr>
      </w:pPr>
      <w:r w:rsidRPr="00EE2DE7">
        <w:rPr>
          <w:rFonts w:ascii="Calibri" w:eastAsia="Calibri" w:hAnsi="Calibri"/>
          <w:noProof/>
          <w:kern w:val="24"/>
          <w:sz w:val="23"/>
          <w:szCs w:val="23"/>
          <w:lang w:eastAsia="en-US"/>
        </w:rPr>
        <w:drawing>
          <wp:inline distT="0" distB="0" distL="0" distR="0">
            <wp:extent cx="4552950" cy="2385060"/>
            <wp:effectExtent l="19050" t="0" r="1905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30BD" w:rsidRPr="008B30BD" w:rsidRDefault="008B30BD" w:rsidP="008B30BD">
      <w:pPr>
        <w:spacing w:line="276" w:lineRule="auto"/>
        <w:rPr>
          <w:rFonts w:eastAsia="Calibri"/>
          <w:i/>
          <w:kern w:val="24"/>
          <w:sz w:val="20"/>
        </w:rPr>
      </w:pPr>
      <w:r w:rsidRPr="008B30BD">
        <w:rPr>
          <w:rFonts w:eastAsia="Calibri"/>
          <w:i/>
          <w:kern w:val="24"/>
          <w:sz w:val="20"/>
        </w:rPr>
        <w:t>Grafiku nr. 10 Ditët e trajnimit (totali i tyre) për kategorinë gjyqtar për vitin akademik 2017-2018.</w:t>
      </w:r>
    </w:p>
    <w:p w:rsidR="00B348F7" w:rsidRDefault="00B348F7" w:rsidP="009D3274">
      <w:pPr>
        <w:tabs>
          <w:tab w:val="left" w:pos="10260"/>
        </w:tabs>
        <w:jc w:val="both"/>
      </w:pPr>
    </w:p>
    <w:p w:rsidR="008B30BD" w:rsidRPr="00BD4580" w:rsidRDefault="008B30BD" w:rsidP="008B30BD">
      <w:pPr>
        <w:spacing w:line="276" w:lineRule="auto"/>
        <w:ind w:firstLine="720"/>
        <w:jc w:val="both"/>
        <w:rPr>
          <w:rFonts w:eastAsia="Calibri"/>
          <w:kern w:val="24"/>
        </w:rPr>
      </w:pPr>
      <w:r w:rsidRPr="00EE2DE7">
        <w:rPr>
          <w:rFonts w:eastAsia="Calibri"/>
          <w:kern w:val="24"/>
        </w:rPr>
        <w:t>Bazuar në ligjin nr. 115/2016, “</w:t>
      </w:r>
      <w:r w:rsidRPr="00EE2DE7">
        <w:rPr>
          <w:rFonts w:eastAsia="Calibri"/>
          <w:i/>
          <w:kern w:val="24"/>
        </w:rPr>
        <w:t>Për organet e qeverisjes së sistemit të drejtësisë</w:t>
      </w:r>
      <w:r w:rsidRPr="00EE2DE7">
        <w:rPr>
          <w:rFonts w:eastAsia="Calibri"/>
          <w:kern w:val="24"/>
        </w:rPr>
        <w:t>” si edhe ligjin nr. 96/2016, “</w:t>
      </w:r>
      <w:r w:rsidRPr="00EE2DE7">
        <w:rPr>
          <w:rFonts w:eastAsia="Calibri"/>
          <w:i/>
          <w:kern w:val="24"/>
        </w:rPr>
        <w:t>Për statusin e gjyqtarëve dhe prokurorëve në Republikën e Shqipërisë</w:t>
      </w:r>
      <w:r w:rsidRPr="00EE2DE7">
        <w:rPr>
          <w:rFonts w:eastAsia="Calibri"/>
          <w:kern w:val="24"/>
        </w:rPr>
        <w:t>”, përkatësisht nenit 5, pika 3 t</w:t>
      </w:r>
      <w:r w:rsidRPr="00EE2DE7">
        <w:rPr>
          <w:rFonts w:eastAsia="MS Mincho"/>
          <w:kern w:val="24"/>
        </w:rPr>
        <w:t>ë</w:t>
      </w:r>
      <w:r w:rsidRPr="00EE2DE7">
        <w:rPr>
          <w:rFonts w:eastAsia="Calibri"/>
          <w:kern w:val="24"/>
        </w:rPr>
        <w:t xml:space="preserve"> këtij ligji, ku bëhet fjalë për klauzolën ligjore lidhur me Formimin Vazhdues me një kohëzgjatje prej “</w:t>
      </w:r>
      <w:r w:rsidRPr="00EE2DE7">
        <w:rPr>
          <w:rFonts w:eastAsia="Calibri"/>
          <w:i/>
          <w:kern w:val="24"/>
        </w:rPr>
        <w:t>jo më pak se pesë ditë të plota në vit dhe jo më pak se 30 ditë të plota gjatë pesë viteve</w:t>
      </w:r>
      <w:r w:rsidRPr="00EE2DE7">
        <w:rPr>
          <w:rFonts w:eastAsia="Calibri"/>
          <w:kern w:val="24"/>
        </w:rPr>
        <w:t xml:space="preserve">” dhe “jo </w:t>
      </w:r>
      <w:r w:rsidRPr="00EE2DE7">
        <w:rPr>
          <w:rFonts w:eastAsia="Calibri"/>
          <w:i/>
          <w:kern w:val="24"/>
        </w:rPr>
        <w:t>më shumë se 40 ditë në vit dhe 200 ditë gjatë pesë viteve</w:t>
      </w:r>
      <w:r w:rsidRPr="00EE2DE7">
        <w:rPr>
          <w:rFonts w:eastAsia="Calibri"/>
          <w:kern w:val="24"/>
        </w:rPr>
        <w:t xml:space="preserve">”, nga grafikët vihet re se gjatë këtij viti akademik rreth 25% e gjyqtarëve kanë frekuentuar aktivitetet trajnuese në kufijtë 5-10 ditë. Ndërsa pjesa më e </w:t>
      </w:r>
      <w:r w:rsidRPr="00EE2DE7">
        <w:rPr>
          <w:rFonts w:eastAsia="Calibri"/>
          <w:kern w:val="24"/>
        </w:rPr>
        <w:lastRenderedPageBreak/>
        <w:t>madhe, kanë frekuentuar aktivitetet trajnuese në kufijtë 3-5 ditë. Për prokurorët, vlen të përmendet fakti se krahasuar me vitet e mëparshme akademike, kemi një shtim të numrit të tyre si pjesëmarrës. Frekuentimi më i shpeshtë ka qenë në kufijtë 3-5 ditë. Sikundër edhe vihet re nga tabela dhe grafikët e mësipërm, kemi gjyqtarë dhe prokurorë të cilët kanë frekuentuar edhe në kufijtë 10-20 ditë.</w:t>
      </w:r>
    </w:p>
    <w:p w:rsidR="003E7455" w:rsidRDefault="003E7455" w:rsidP="009D3274">
      <w:pPr>
        <w:tabs>
          <w:tab w:val="left" w:pos="10260"/>
        </w:tabs>
        <w:jc w:val="both"/>
      </w:pPr>
    </w:p>
    <w:p w:rsidR="008B30BD" w:rsidRPr="008B30BD" w:rsidRDefault="008B30BD" w:rsidP="008D2205">
      <w:pPr>
        <w:spacing w:line="276" w:lineRule="auto"/>
        <w:jc w:val="both"/>
        <w:rPr>
          <w:b/>
          <w:color w:val="CC9966" w:themeColor="accent2"/>
          <w:sz w:val="28"/>
        </w:rPr>
      </w:pPr>
      <w:r w:rsidRPr="008B30BD">
        <w:rPr>
          <w:b/>
          <w:color w:val="CC9966" w:themeColor="accent2"/>
          <w:sz w:val="28"/>
        </w:rPr>
        <w:t>2.3.3</w:t>
      </w:r>
      <w:r w:rsidR="008D2205">
        <w:rPr>
          <w:b/>
          <w:color w:val="CC9966" w:themeColor="accent2"/>
          <w:sz w:val="28"/>
        </w:rPr>
        <w:t>. Pyetësorët e vlerësimit</w:t>
      </w:r>
    </w:p>
    <w:p w:rsidR="008B30BD" w:rsidRPr="00EE2DE7" w:rsidRDefault="008B30BD" w:rsidP="008B30BD">
      <w:pPr>
        <w:contextualSpacing/>
        <w:rPr>
          <w:rFonts w:ascii="Cambria" w:eastAsia="Calibri" w:hAnsi="Cambria"/>
          <w:b/>
          <w:caps/>
          <w:color w:val="943634"/>
          <w:spacing w:val="50"/>
          <w:kern w:val="24"/>
        </w:rPr>
      </w:pPr>
    </w:p>
    <w:p w:rsidR="008B30BD" w:rsidRPr="00BD4580" w:rsidRDefault="008B30BD" w:rsidP="008B30BD">
      <w:pPr>
        <w:spacing w:line="276" w:lineRule="auto"/>
        <w:ind w:firstLine="720"/>
        <w:jc w:val="both"/>
        <w:rPr>
          <w:rFonts w:eastAsia="Calibri"/>
          <w:kern w:val="24"/>
        </w:rPr>
      </w:pPr>
      <w:r w:rsidRPr="00EE2DE7">
        <w:rPr>
          <w:rFonts w:eastAsia="Calibri"/>
          <w:kern w:val="24"/>
        </w:rPr>
        <w:t>Shkolla, në marrëveshjen e mirëkuptimit me ekspertët/lehtësuesit si dhe me moderatorët, ka parashikuar si detyrë të tyre evidentimin e këtyre vlerësimeve, detyrë që në pjesën dërrmuese ata e kanë kryer me korrektesë, duke na ndihmuar maksimalisht në ecurinë pozitive të aktiviteteve trajnuese për vitin 2017-2018. Në këtë mënyrë, pas pothuajse çdo sesioni trajnues ose gjatë tij u përpoqëm të fokusoheshim më specifikisht tek interesat e tyre për të ardhmen. Kjo u realizua përmes pyetjeve t</w:t>
      </w:r>
      <w:r w:rsidRPr="00EE2DE7">
        <w:rPr>
          <w:rFonts w:eastAsia="MS Mincho"/>
          <w:kern w:val="24"/>
        </w:rPr>
        <w:t>ë</w:t>
      </w:r>
      <w:r w:rsidRPr="00EE2DE7">
        <w:rPr>
          <w:rFonts w:eastAsia="Calibri"/>
          <w:kern w:val="24"/>
        </w:rPr>
        <w:t xml:space="preserve"> drejtp</w:t>
      </w:r>
      <w:r w:rsidRPr="00EE2DE7">
        <w:rPr>
          <w:rFonts w:eastAsia="MS Mincho"/>
          <w:kern w:val="24"/>
        </w:rPr>
        <w:t>ërdrejta</w:t>
      </w:r>
      <w:r w:rsidRPr="00EE2DE7">
        <w:rPr>
          <w:rFonts w:eastAsia="Calibri"/>
          <w:kern w:val="24"/>
        </w:rPr>
        <w:t xml:space="preserve"> ose duke parë interesin e shprehur gjatë diskutimeve në sesionet trajnuese të frekuentuara prej tyre</w:t>
      </w:r>
      <w:r w:rsidRPr="00EE2DE7">
        <w:rPr>
          <w:rFonts w:eastAsia="Calibri"/>
          <w:kern w:val="24"/>
          <w:vertAlign w:val="superscript"/>
        </w:rPr>
        <w:footnoteReference w:id="5"/>
      </w:r>
      <w:r w:rsidRPr="00EE2DE7">
        <w:rPr>
          <w:rFonts w:eastAsia="Calibri"/>
          <w:kern w:val="24"/>
        </w:rPr>
        <w:t>.</w:t>
      </w:r>
    </w:p>
    <w:p w:rsidR="008B30BD" w:rsidRPr="00EE2DE7" w:rsidRDefault="008B30BD" w:rsidP="008B30BD">
      <w:pPr>
        <w:contextualSpacing/>
        <w:rPr>
          <w:rFonts w:ascii="Cambria" w:eastAsia="Calibri" w:hAnsi="Cambria"/>
          <w:b/>
          <w:caps/>
          <w:color w:val="943634"/>
          <w:spacing w:val="50"/>
          <w:kern w:val="24"/>
        </w:rPr>
      </w:pPr>
    </w:p>
    <w:p w:rsidR="008B30BD" w:rsidRPr="008D2205" w:rsidRDefault="008B30BD" w:rsidP="008D2205">
      <w:pPr>
        <w:spacing w:line="276" w:lineRule="auto"/>
        <w:jc w:val="both"/>
        <w:rPr>
          <w:b/>
          <w:color w:val="CC9966" w:themeColor="accent2"/>
          <w:sz w:val="28"/>
        </w:rPr>
      </w:pPr>
      <w:r w:rsidRPr="008D2205">
        <w:rPr>
          <w:b/>
          <w:color w:val="CC9966" w:themeColor="accent2"/>
          <w:sz w:val="28"/>
        </w:rPr>
        <w:t>2.3.4</w:t>
      </w:r>
      <w:r w:rsidR="008D2205">
        <w:rPr>
          <w:b/>
          <w:color w:val="CC9966" w:themeColor="accent2"/>
          <w:sz w:val="28"/>
        </w:rPr>
        <w:t>.</w:t>
      </w:r>
      <w:r w:rsidRPr="008D2205">
        <w:rPr>
          <w:b/>
          <w:color w:val="CC9966" w:themeColor="accent2"/>
          <w:sz w:val="28"/>
        </w:rPr>
        <w:t xml:space="preserve"> Fluksi i sesioneve për muaj</w:t>
      </w:r>
    </w:p>
    <w:p w:rsidR="008B30BD" w:rsidRPr="00EE2DE7" w:rsidRDefault="008B30BD" w:rsidP="008B30BD">
      <w:pPr>
        <w:spacing w:line="276" w:lineRule="auto"/>
        <w:contextualSpacing/>
        <w:rPr>
          <w:rFonts w:ascii="Cambria" w:eastAsia="Calibri" w:hAnsi="Cambria"/>
          <w:b/>
          <w:caps/>
          <w:color w:val="943634"/>
          <w:spacing w:val="50"/>
          <w:kern w:val="24"/>
        </w:rPr>
      </w:pPr>
    </w:p>
    <w:p w:rsidR="008B30BD" w:rsidRPr="00EE2DE7" w:rsidRDefault="008B30BD" w:rsidP="008B30BD">
      <w:pPr>
        <w:spacing w:line="276" w:lineRule="auto"/>
        <w:ind w:firstLine="720"/>
        <w:jc w:val="both"/>
        <w:rPr>
          <w:rFonts w:eastAsia="Calibri"/>
          <w:kern w:val="24"/>
        </w:rPr>
      </w:pPr>
      <w:r w:rsidRPr="00EE2DE7">
        <w:rPr>
          <w:rFonts w:eastAsia="Calibri"/>
          <w:kern w:val="24"/>
        </w:rPr>
        <w:t>Këtë vit akademik, sikurse u paraqit në këtë raport, Shkolla organizoi një numër më të madh trajnimesh krahasuar me vitin e kaluar akademik. Në fokus është pasur organizimi i një numri të përshtatshëm sesionesh trajnuese, për të mundësuar një organizim sa më të mirë të tyre, me qëllim arritjen e zhvillimit të aktiviteteve trajnuese efektive dhe produktive për auditorin.</w:t>
      </w:r>
    </w:p>
    <w:p w:rsidR="008B30BD" w:rsidRPr="00EE2DE7" w:rsidRDefault="008B30BD" w:rsidP="008B30BD">
      <w:pPr>
        <w:spacing w:line="276" w:lineRule="auto"/>
        <w:contextualSpacing/>
        <w:outlineLvl w:val="1"/>
        <w:rPr>
          <w:rFonts w:ascii="Cambria" w:eastAsia="Calibri" w:hAnsi="Cambria"/>
          <w:b/>
          <w:color w:val="244061"/>
          <w:spacing w:val="20"/>
          <w:kern w:val="24"/>
          <w:sz w:val="28"/>
          <w:szCs w:val="28"/>
        </w:rPr>
      </w:pPr>
    </w:p>
    <w:p w:rsidR="008B30BD" w:rsidRPr="008D2205" w:rsidRDefault="008B30BD" w:rsidP="008B30BD">
      <w:pPr>
        <w:spacing w:line="276" w:lineRule="auto"/>
        <w:contextualSpacing/>
        <w:outlineLvl w:val="1"/>
        <w:rPr>
          <w:b/>
          <w:color w:val="CC9966" w:themeColor="accent2"/>
          <w:sz w:val="32"/>
        </w:rPr>
      </w:pPr>
      <w:r w:rsidRPr="008D2205">
        <w:rPr>
          <w:b/>
          <w:color w:val="CC9966" w:themeColor="accent2"/>
          <w:sz w:val="32"/>
        </w:rPr>
        <w:t>2.4</w:t>
      </w:r>
      <w:r w:rsidR="008D2205">
        <w:rPr>
          <w:b/>
          <w:color w:val="CC9966" w:themeColor="accent2"/>
          <w:sz w:val="32"/>
        </w:rPr>
        <w:t xml:space="preserve">. </w:t>
      </w:r>
      <w:r w:rsidRPr="008D2205">
        <w:rPr>
          <w:b/>
          <w:color w:val="CC9966" w:themeColor="accent2"/>
          <w:sz w:val="32"/>
        </w:rPr>
        <w:t xml:space="preserve"> Ekspertiza. Ekspertët</w:t>
      </w:r>
    </w:p>
    <w:p w:rsidR="008B30BD" w:rsidRPr="00EE2DE7" w:rsidRDefault="008B30BD" w:rsidP="008B30BD">
      <w:pPr>
        <w:spacing w:line="276" w:lineRule="auto"/>
        <w:ind w:firstLine="720"/>
        <w:jc w:val="both"/>
        <w:rPr>
          <w:rFonts w:eastAsia="Calibri"/>
          <w:kern w:val="24"/>
        </w:rPr>
      </w:pPr>
    </w:p>
    <w:p w:rsidR="008B30BD" w:rsidRPr="00EE2DE7" w:rsidRDefault="008B30BD" w:rsidP="008B30BD">
      <w:pPr>
        <w:spacing w:line="276" w:lineRule="auto"/>
        <w:ind w:firstLine="720"/>
        <w:jc w:val="both"/>
        <w:rPr>
          <w:rFonts w:eastAsia="Times New Roman"/>
          <w:kern w:val="24"/>
        </w:rPr>
      </w:pPr>
      <w:r w:rsidRPr="00EE2DE7">
        <w:rPr>
          <w:rFonts w:eastAsia="Calibri"/>
          <w:kern w:val="24"/>
        </w:rPr>
        <w:t>Në lidhje me përzgjedhjen e ekspertëve të Trajnimit Vazhdues, vlen të theksohet se me vendimin nr. 1, datë 31.1.2017, “</w:t>
      </w:r>
      <w:r w:rsidRPr="00EE2DE7">
        <w:rPr>
          <w:rFonts w:eastAsia="Calibri"/>
          <w:i/>
          <w:kern w:val="24"/>
        </w:rPr>
        <w:t>Për miratimin e Rregullores së Brendshme të Shkollës së Magjistraturës</w:t>
      </w:r>
      <w:r w:rsidRPr="00EE2DE7">
        <w:rPr>
          <w:rFonts w:eastAsia="Calibri"/>
          <w:kern w:val="24"/>
        </w:rPr>
        <w:t>”, Aneksi 11, “</w:t>
      </w:r>
      <w:r w:rsidRPr="00EE2DE7">
        <w:rPr>
          <w:rFonts w:eastAsia="Calibri"/>
          <w:i/>
          <w:kern w:val="24"/>
        </w:rPr>
        <w:t>Për kriteret e përzgjedhjes së pedagogëve dhe trajnerëve të Shkollës së Magjistraturës</w:t>
      </w:r>
      <w:r w:rsidRPr="00EE2DE7">
        <w:rPr>
          <w:rFonts w:eastAsia="Calibri"/>
          <w:kern w:val="24"/>
        </w:rPr>
        <w:t>”, ka përcaktuar kriteret ligjore që duhet të përmbushin aplikuesit si ekspertë të Programit të Formimit Vazhdues, i cili është përditësuar në zbatim të ligjit nr. 115/2016, “</w:t>
      </w:r>
      <w:r w:rsidRPr="00EE2DE7">
        <w:rPr>
          <w:rFonts w:eastAsia="Calibri"/>
          <w:i/>
          <w:kern w:val="24"/>
        </w:rPr>
        <w:t>Për organet e qeverisjes së sistemit të drejtësisë</w:t>
      </w:r>
      <w:r w:rsidRPr="00EE2DE7">
        <w:rPr>
          <w:rFonts w:eastAsia="Calibri"/>
          <w:kern w:val="24"/>
        </w:rPr>
        <w:t xml:space="preserve">”. </w:t>
      </w:r>
      <w:r w:rsidRPr="00EE2DE7">
        <w:rPr>
          <w:rFonts w:eastAsia="Times New Roman"/>
          <w:kern w:val="24"/>
        </w:rPr>
        <w:t>Përkatësisht, përzgjedhja e trajnerëve të Trajnimit Vazhdues, mbështetet në disa kritere, konkretisht: t</w:t>
      </w:r>
      <w:r w:rsidRPr="00EE2DE7">
        <w:rPr>
          <w:rFonts w:eastAsia="Calibri"/>
          <w:kern w:val="24"/>
        </w:rPr>
        <w:t>ë kenë</w:t>
      </w:r>
      <w:r w:rsidRPr="00EE2DE7">
        <w:rPr>
          <w:rFonts w:eastAsia="Times New Roman"/>
          <w:kern w:val="24"/>
        </w:rPr>
        <w:t xml:space="preserve"> eksperiencë mbi 15-vjeçare si juristë dhe eksperiencë mësimdhënëse universitare apo në Shkollën e Magjistraturës mbi 10 vjet; ose t</w:t>
      </w:r>
      <w:r w:rsidRPr="00EE2DE7">
        <w:rPr>
          <w:rFonts w:eastAsia="Calibri"/>
          <w:kern w:val="24"/>
        </w:rPr>
        <w:t>ë</w:t>
      </w:r>
      <w:r w:rsidRPr="00EE2DE7">
        <w:rPr>
          <w:rFonts w:eastAsia="Times New Roman"/>
          <w:kern w:val="24"/>
        </w:rPr>
        <w:t xml:space="preserve"> ken</w:t>
      </w:r>
      <w:r w:rsidRPr="00EE2DE7">
        <w:rPr>
          <w:rFonts w:eastAsia="Calibri"/>
          <w:kern w:val="24"/>
        </w:rPr>
        <w:t xml:space="preserve">ë </w:t>
      </w:r>
      <w:r w:rsidRPr="00EE2DE7">
        <w:rPr>
          <w:rFonts w:eastAsia="Times New Roman"/>
          <w:kern w:val="24"/>
        </w:rPr>
        <w:t>eksperiencë mbi 10-vjeçare si gjyqtar ose prokuror dhe eksperiencë mësimdhënieje universitare apo në Shkollën e Magjistraturës mbi 5 vjet; t</w:t>
      </w:r>
      <w:r w:rsidRPr="00EE2DE7">
        <w:rPr>
          <w:rFonts w:eastAsia="Calibri"/>
          <w:kern w:val="24"/>
        </w:rPr>
        <w:t xml:space="preserve">ë kenë </w:t>
      </w:r>
      <w:r w:rsidRPr="00EE2DE7">
        <w:rPr>
          <w:rFonts w:eastAsia="Times New Roman"/>
          <w:kern w:val="24"/>
        </w:rPr>
        <w:t xml:space="preserve">përvojë profesionale e specifikuar në fushën/kursin/temën për të cilën do të jenë ekspertë. Për seminaret me tema specifike të Programit të Formimit Vazhdues, mund të aktivizohen specialistë të atyre fushave me përvojë të paktën 10-vjeçare të specifikuar në fushën/kursin/temën për të cilën do të jenë trajnerë/ekspertë, si dhe të kenë eksperiencë pedagogjike ose trajnuese të paktën 3-vjeçare. Kritere shtesë të rëndësishme për përzgjedhjen e të gjithë pedagogëve, trajnerëve/ekspertëve, të cilët duhet të konkurrojnë në mënyrë kumulative me kriteret ligjore, janë: integriteti moral dhe reputacioni i mirë në detyrën e tyre, i cili ka të bëjë me respektimin e vazhdueshëm të rregullave në detyrën e tij/saj; ndjekja e sesioneve të trajnimit të </w:t>
      </w:r>
      <w:r w:rsidRPr="00EE2DE7">
        <w:rPr>
          <w:rFonts w:eastAsia="Times New Roman"/>
          <w:kern w:val="24"/>
        </w:rPr>
        <w:lastRenderedPageBreak/>
        <w:t>trajnerëve që organizon Shkolla e Magjistraturës gjatë vitit akademik; aftësit</w:t>
      </w:r>
      <w:r w:rsidRPr="00EE2DE7">
        <w:rPr>
          <w:rFonts w:eastAsia="Calibri"/>
          <w:kern w:val="24"/>
        </w:rPr>
        <w:t>ë</w:t>
      </w:r>
      <w:r w:rsidRPr="00EE2DE7">
        <w:rPr>
          <w:rFonts w:eastAsia="Times New Roman"/>
          <w:kern w:val="24"/>
        </w:rPr>
        <w:t xml:space="preserve"> e larta në komunikim; aktiviteti shkencor në formën e botimeve dhe konferencave; përfundimi i detyrave t</w:t>
      </w:r>
      <w:r w:rsidRPr="00EE2DE7">
        <w:rPr>
          <w:rFonts w:eastAsia="Calibri"/>
          <w:kern w:val="24"/>
        </w:rPr>
        <w:t>ë</w:t>
      </w:r>
      <w:r w:rsidRPr="00EE2DE7">
        <w:rPr>
          <w:rFonts w:eastAsia="Times New Roman"/>
          <w:kern w:val="24"/>
        </w:rPr>
        <w:t xml:space="preserve"> ngarkuara brenda afateve të vëna nga Këshilli Drejtues dhe nga Këshilli Pedagogjik; aftësitë e nevojshme për të vlerësuar nevojat për trajnimin profesional të gjyqtarëve dhe të prokurorëve; aftësit</w:t>
      </w:r>
      <w:r w:rsidRPr="00EE2DE7">
        <w:rPr>
          <w:rFonts w:eastAsia="Calibri"/>
          <w:kern w:val="24"/>
        </w:rPr>
        <w:t>ë</w:t>
      </w:r>
      <w:r w:rsidRPr="00EE2DE7">
        <w:rPr>
          <w:rFonts w:eastAsia="Times New Roman"/>
          <w:kern w:val="24"/>
        </w:rPr>
        <w:t xml:space="preserve"> e nevojshme për të bërë vlerësimin e aktiviteteve të trajnimit profesional; frekuentimi i aktiviteteve për të cilat i duhet të udhëtojë brenda dhe jashtë vendit; njohja e një gjuhe të huaj të Bashkimit Europian ose më gjerë; aftësit</w:t>
      </w:r>
      <w:r w:rsidRPr="00EE2DE7">
        <w:rPr>
          <w:rFonts w:eastAsia="Calibri"/>
          <w:kern w:val="24"/>
        </w:rPr>
        <w:t>ë</w:t>
      </w:r>
      <w:r w:rsidRPr="00EE2DE7">
        <w:rPr>
          <w:rFonts w:eastAsia="Times New Roman"/>
          <w:kern w:val="24"/>
        </w:rPr>
        <w:t xml:space="preserve"> për përdorimin e kompjuterit. </w:t>
      </w:r>
    </w:p>
    <w:p w:rsidR="008B30BD" w:rsidRPr="00EE2DE7" w:rsidRDefault="008B30BD" w:rsidP="008B30BD">
      <w:pPr>
        <w:spacing w:line="276" w:lineRule="auto"/>
        <w:ind w:firstLine="720"/>
        <w:jc w:val="both"/>
        <w:rPr>
          <w:rFonts w:eastAsia="Times New Roman"/>
          <w:kern w:val="24"/>
        </w:rPr>
      </w:pPr>
      <w:r w:rsidRPr="00EE2DE7">
        <w:rPr>
          <w:rFonts w:eastAsia="Times New Roman"/>
          <w:kern w:val="24"/>
        </w:rPr>
        <w:t>Pranimi dhe emërimi i gjyqtarëve a prokurorëve si pedagogë të brendshëm kryhet duke konkurruar sipas kritereve të kësaj rregulloreje, si dhe pasi të jetë dhënë pëlqimi, përkatësisht, nga Këshilli i Lartë Gjyqësor ose Këshilli i Lartë i Prokurorisë, sipas kërkesës dhe propozimeve të Këshillit Drejtues të Shkollës së Magjistraturës.</w:t>
      </w:r>
    </w:p>
    <w:p w:rsidR="008B30BD" w:rsidRPr="00EE2DE7" w:rsidRDefault="008B30BD" w:rsidP="008B30BD">
      <w:pPr>
        <w:spacing w:line="276" w:lineRule="auto"/>
        <w:ind w:firstLine="720"/>
        <w:jc w:val="both"/>
        <w:rPr>
          <w:rFonts w:eastAsia="Calibri"/>
          <w:kern w:val="24"/>
        </w:rPr>
      </w:pPr>
      <w:r>
        <w:rPr>
          <w:rFonts w:eastAsia="Calibri"/>
          <w:kern w:val="24"/>
        </w:rPr>
        <w:t>Shkolla</w:t>
      </w:r>
      <w:r w:rsidRPr="00EE2DE7">
        <w:rPr>
          <w:rFonts w:eastAsia="Calibri"/>
          <w:kern w:val="24"/>
        </w:rPr>
        <w:t xml:space="preserve"> ka synuar të përzgjedhë me cilësinë e ekspertëve, gjyqtarë e prokurorë me eksperiencë të gjatë në ushtrimin e funksionit të tyre, për të qenë më afër problematikave të praktikës gjyqësore. Një ndihmesë të madhe në përzgjedhjen cilësore të tyre, natyrisht ka luajtur edhe vlerësimi që secili ekspert, lehtësues apo moderator, ka marrë nga auditori, para të cilit ai ka dhënë ekspe</w:t>
      </w:r>
      <w:r>
        <w:rPr>
          <w:rFonts w:eastAsia="Calibri"/>
          <w:kern w:val="24"/>
        </w:rPr>
        <w:t>rtizën e tij. Synimi i Shkollës</w:t>
      </w:r>
      <w:r w:rsidRPr="00EE2DE7">
        <w:rPr>
          <w:rFonts w:eastAsia="Calibri"/>
          <w:kern w:val="24"/>
        </w:rPr>
        <w:t xml:space="preserve"> është që të arrihet një gërshetim i ekspertizës në nivelin teorik me atë praktik. Shkolla vazhdimisht i ka ftuar gjyqtarët e prokurorët për të aplikuar si ekspertë të Formimit Vazhdues, por gjithnjë duke pasur në konsideratë kriteret ligjore në përzgjedhjen e tyre. Në këtë drejtim ka vend për përmirësime të mëtejshme, por Shkolla nuk mund të arrijë rezultate të kënaqshme pa mbështetjen edhe të aktorëve të rëndësishëm të sistemit të drejtësisë. Ajo çfarë duhet nënvizuar këtu është se, çdo gjyqtar e prokuror duhet të ndërgjegjësohet për domosdoshmërinë e ngritjes së tij profesionale, për t’ju përgjigjur kërkesave të kohës. Shkolla e Magjistratur</w:t>
      </w:r>
      <w:r>
        <w:rPr>
          <w:rFonts w:eastAsia="Calibri"/>
          <w:kern w:val="24"/>
        </w:rPr>
        <w:t>ës e ka theksuar vazhdimisht se</w:t>
      </w:r>
      <w:r w:rsidRPr="00EE2DE7">
        <w:rPr>
          <w:rFonts w:eastAsia="Calibri"/>
          <w:kern w:val="24"/>
        </w:rPr>
        <w:t xml:space="preserve"> është e hapur për çdo bashkëpunim që synon rritjen e nivelit të Formimit Vazhdues, ndaj i mirëpret të gjitha sugjerimet që vijnë për përzgjedhjen e ekspertëve më të mirë shqiptarë. Synimi i Shkollës është që zhvillimi i aktiviteteve në kuadrin e Formimit Vazhdues, të krijojë një mundësi të mirë për të gjithë pjesëmarrësit, duke përfshirë edhe vetë ekspertët shqiptarë, në shkëmbimin e eksperiencave të tyre profesionale, në funksion të përmirësimit të performancës së tyre në dhënien e drejtësisë. </w:t>
      </w:r>
    </w:p>
    <w:p w:rsidR="008B30BD" w:rsidRPr="00EE2DE7" w:rsidRDefault="008B30BD" w:rsidP="008B30BD">
      <w:pPr>
        <w:spacing w:line="276" w:lineRule="auto"/>
        <w:ind w:firstLine="720"/>
        <w:jc w:val="both"/>
        <w:rPr>
          <w:rFonts w:eastAsia="Times New Roman"/>
          <w:kern w:val="24"/>
        </w:rPr>
      </w:pPr>
      <w:r w:rsidRPr="00EE2DE7">
        <w:rPr>
          <w:rFonts w:eastAsia="Times New Roman"/>
          <w:kern w:val="24"/>
        </w:rPr>
        <w:t>Për seminaret me tema specifike të Programit të Formimit Vazhdues është treguar kujdes i veçantë duke aktivizuar specialistë me qëllim rritjen e cilësisë së aktiviteteve në lidhje me qartësimin, thellimin dhe pasurimin e njohurive në këto fusha.</w:t>
      </w:r>
    </w:p>
    <w:p w:rsidR="008B30BD" w:rsidRPr="00EE2DE7" w:rsidRDefault="008B30BD" w:rsidP="008B30BD">
      <w:pPr>
        <w:spacing w:line="276" w:lineRule="auto"/>
        <w:ind w:firstLine="720"/>
        <w:jc w:val="both"/>
        <w:rPr>
          <w:rFonts w:eastAsia="Calibri"/>
          <w:kern w:val="24"/>
        </w:rPr>
      </w:pPr>
      <w:r w:rsidRPr="00EE2DE7">
        <w:rPr>
          <w:rFonts w:eastAsia="Calibri"/>
          <w:kern w:val="24"/>
        </w:rPr>
        <w:t xml:space="preserve">Ekspertët shqiptarë </w:t>
      </w:r>
      <w:r>
        <w:rPr>
          <w:rFonts w:eastAsia="Calibri"/>
          <w:kern w:val="24"/>
        </w:rPr>
        <w:t>kontrib</w:t>
      </w:r>
      <w:r w:rsidRPr="00EE2DE7">
        <w:rPr>
          <w:rFonts w:eastAsia="Calibri"/>
          <w:kern w:val="24"/>
        </w:rPr>
        <w:t>uan denjësisht në mbarëvajtjen e programit. Shkolla e Magjistraturës ka bërë të gjitha përpjekjet që në listën e ekspertëve të saj të jenë emra të spikatur në zbatimin e së drejtës dhe njohës të mirë të saj si nga ana teorike, ashtu edhe nga ajo praktike. Shkolla u ka bërë ftesë gjithnjë si trajnues edhe gjyqtarëve e prokurorëve të rretheve, duke u krijuar të gjitha mundësitë që të sugjerojnë kolegë apo veten lidhur me ekspertiza të veçanta, në fusha specifike. Listat e ekspertëve për vitin akademik 2017-2018 reflektuan ndryshime të ndjeshme duke sjellë në cilësinë e ekspertit/ moderatorit/lehtësuesit emra të rinj të vlerësuar për kontributet e tyre në fushën e së drejtës, gjë që solli edhe rritje të cilësisë së aktiviteteve trajnuese që u organizuan gjatë vitit.</w:t>
      </w:r>
    </w:p>
    <w:p w:rsidR="008B30BD" w:rsidRPr="00EE2DE7" w:rsidRDefault="008B30BD" w:rsidP="008B30BD">
      <w:pPr>
        <w:spacing w:line="276" w:lineRule="auto"/>
        <w:ind w:firstLine="720"/>
        <w:jc w:val="both"/>
        <w:rPr>
          <w:rFonts w:eastAsia="Calibri"/>
          <w:kern w:val="24"/>
        </w:rPr>
      </w:pPr>
      <w:r w:rsidRPr="00EE2DE7">
        <w:rPr>
          <w:rFonts w:eastAsia="Calibri"/>
          <w:kern w:val="24"/>
        </w:rPr>
        <w:t xml:space="preserve">Seleksionimi i ekspertizës më të mirë të brendshme dhe ndërkombëtare në fusha të veçanta. Në lidhje me ekspertizën vendase përmendim </w:t>
      </w:r>
      <w:r w:rsidRPr="00EE2DE7">
        <w:rPr>
          <w:rFonts w:eastAsia="Calibri"/>
          <w:b/>
          <w:i/>
          <w:kern w:val="24"/>
        </w:rPr>
        <w:t>ekspertët nga gjyqësori</w:t>
      </w:r>
      <w:r w:rsidRPr="00EE2DE7">
        <w:rPr>
          <w:rFonts w:eastAsia="Calibri"/>
          <w:kern w:val="24"/>
        </w:rPr>
        <w:t xml:space="preserve">: Admir Belishta, Albana Boksi, Altina Nasufi, Amarildo Laçi, Ardian Dvorani, Ardian Nuni, Elda Vrioni, Ervin Metalla, Ervin Pollozhani, </w:t>
      </w:r>
      <w:r w:rsidRPr="00EE2DE7">
        <w:rPr>
          <w:rFonts w:eastAsia="Calibri"/>
          <w:kern w:val="24"/>
        </w:rPr>
        <w:lastRenderedPageBreak/>
        <w:t xml:space="preserve">Evelina Qirjako, Fatri Islamaj, Fjoralba Prifti, Gerd Hoxha, Kastriot Selita, Klodian Kurushi, Lindita Sinanaj, Margarita Buhali, Saida Dollani, Sandër Simoni, Valbona Vata, Vitore Tusha, Xhezair Zaganjori; </w:t>
      </w:r>
      <w:r w:rsidRPr="00EE2DE7">
        <w:rPr>
          <w:rFonts w:eastAsia="Calibri"/>
          <w:b/>
          <w:i/>
          <w:kern w:val="24"/>
        </w:rPr>
        <w:t>ndër ekspertët nga prokuroria</w:t>
      </w:r>
      <w:r w:rsidRPr="00EE2DE7">
        <w:rPr>
          <w:rFonts w:eastAsia="Calibri"/>
          <w:kern w:val="24"/>
        </w:rPr>
        <w:t xml:space="preserve">: Arian Muçaj, Arqile Koça, Artur Selmani, Besnik Muçi, Dritan Rreshka, Henrik Ligori, Olsian Çela; </w:t>
      </w:r>
      <w:r w:rsidRPr="00EE2DE7">
        <w:rPr>
          <w:rFonts w:eastAsia="Calibri"/>
          <w:b/>
          <w:i/>
          <w:kern w:val="24"/>
        </w:rPr>
        <w:t>ekspert</w:t>
      </w:r>
      <w:r w:rsidRPr="00EE2DE7">
        <w:rPr>
          <w:rFonts w:eastAsia="Times New Roman"/>
          <w:b/>
          <w:i/>
          <w:kern w:val="24"/>
          <w:lang w:eastAsia="en-GB"/>
        </w:rPr>
        <w:t>ë</w:t>
      </w:r>
      <w:r w:rsidRPr="00EE2DE7">
        <w:rPr>
          <w:rFonts w:eastAsia="Calibri"/>
          <w:b/>
          <w:i/>
          <w:kern w:val="24"/>
        </w:rPr>
        <w:t xml:space="preserve"> të tjerë</w:t>
      </w:r>
      <w:r w:rsidRPr="00EE2DE7">
        <w:rPr>
          <w:rFonts w:eastAsia="Calibri"/>
          <w:kern w:val="24"/>
        </w:rPr>
        <w:t xml:space="preserve">: Alma Hicka, Arben Isaraj, Artan Hoxha, Skënder Kaçupi, Artan Hajdari, Arta Mandro, Arben Rakipi, Dashamir Kore, Elira Kokona, Eralda Met’hasani, Evis Alimehmeti, Idlir Peçi, Ina Rama, Mariana Semini, Manjola Xhaxho, Marsida Xhaferllari, Shamet Shabani, Sokol Berberi; Sokol Sadushi, Vilma Sharofi, Vangjel Kosta, Arben Malaj, Arta Vorpsi, Gent Ibrahimi, Ardjana Kalo, Romeo Nazarko; Ilirjan Mandro; Bledi Stefa; Mit’hat Tola; Livia Nano; Anita Pilika; Anila Sulstarova; Eugjen Sotiri;  </w:t>
      </w:r>
      <w:r w:rsidRPr="00EE2DE7">
        <w:rPr>
          <w:rFonts w:eastAsia="Calibri"/>
          <w:b/>
          <w:i/>
          <w:kern w:val="24"/>
        </w:rPr>
        <w:t>ekspertë ndërkombëtarë:</w:t>
      </w:r>
      <w:r w:rsidRPr="00EE2DE7">
        <w:rPr>
          <w:kern w:val="24"/>
          <w:u w:val="wave"/>
        </w:rPr>
        <w:t xml:space="preserve"> Dr. Ronald Rohrer, Carlo D’Achile, Carmine Pirozzoli, Antonio Balsano, Hassan Khan, DebiGould, Mark Owers, Tanja Pavelin Borziċ, Diana Pervan,</w:t>
      </w:r>
      <w:r>
        <w:rPr>
          <w:kern w:val="24"/>
          <w:u w:val="wave"/>
        </w:rPr>
        <w:t xml:space="preserve"> </w:t>
      </w:r>
      <w:r w:rsidRPr="00EE2DE7">
        <w:rPr>
          <w:kern w:val="24"/>
          <w:u w:val="wave"/>
        </w:rPr>
        <w:t xml:space="preserve">High Wycombe, Buckinghamshire, Jonathan Fisher QC, Anita Clifford, Koraljka Bumči, </w:t>
      </w:r>
      <w:r w:rsidRPr="00EE2DE7">
        <w:rPr>
          <w:rFonts w:eastAsia="Times New Roman"/>
          <w:kern w:val="24"/>
          <w:lang w:eastAsia="en-GB"/>
        </w:rPr>
        <w:t xml:space="preserve">Agnes Bernhand, Anita Mihailova, </w:t>
      </w:r>
      <w:r w:rsidRPr="00EE2DE7">
        <w:rPr>
          <w:rFonts w:eastAsia="Calibri"/>
          <w:kern w:val="24"/>
        </w:rPr>
        <w:t>Katrin Wladasch.</w:t>
      </w:r>
    </w:p>
    <w:p w:rsidR="008B30BD" w:rsidRPr="00EE2DE7" w:rsidRDefault="008B30BD" w:rsidP="008B30BD">
      <w:pPr>
        <w:spacing w:line="276" w:lineRule="auto"/>
        <w:ind w:firstLine="720"/>
        <w:jc w:val="both"/>
        <w:rPr>
          <w:rFonts w:eastAsia="Calibri"/>
          <w:kern w:val="24"/>
        </w:rPr>
      </w:pPr>
      <w:r w:rsidRPr="00EE2DE7">
        <w:rPr>
          <w:rFonts w:eastAsia="Calibri"/>
          <w:kern w:val="24"/>
        </w:rPr>
        <w:t>Ekspertët ndërkombëtarë kontribuuan në mënyrë tepër cilësore në të gjitha aktivitetet trajnuese, ku ishin të pranishëm, duke sjellë një mbarëvajtje të kënaqshme të programit trajnues për vitin 2017-2018. Këto seanca të pjesëmarrjes së përbashkët të ekspertëve të vendit tonë dhe të huaj krijuan një atmosferë njohjeje të thelluar të aspektit të përqasjes së legjislacionit vendas me atë ndërkombëtar, në fusha të ndryshme. Edhe gjatë këtij viti u vu re vlerësimi pozitiv që ekspertët e huaj morën nga auditori pjesëmarrës, si dhe kërkesat për të pasur më shumë eksperienca të reja sa i takon ndërthurjes së aspekteve teorike me ato praktike, pasi pjesëmarrësit i mëshonin dukshëm aplikimit të informacioneve të prura në praktikën e punës së tyre të përditshme në terrenin shqiptar.</w:t>
      </w:r>
    </w:p>
    <w:p w:rsidR="008B30BD" w:rsidRPr="00EE2DE7" w:rsidRDefault="008B30BD" w:rsidP="008B30BD">
      <w:pPr>
        <w:spacing w:line="276" w:lineRule="auto"/>
        <w:ind w:firstLine="720"/>
        <w:jc w:val="both"/>
        <w:rPr>
          <w:rFonts w:eastAsia="Calibri"/>
          <w:kern w:val="24"/>
        </w:rPr>
      </w:pPr>
      <w:r w:rsidRPr="00EE2DE7">
        <w:rPr>
          <w:rFonts w:eastAsia="Calibri"/>
          <w:kern w:val="24"/>
        </w:rPr>
        <w:t>Seleksionimi i ekspertizës është gjithashtu një nga kontributet me vlerë që anëtarët e Këshillit Drejtues, bashkërisht dhe individualisht, i kanë dhënë Shkollës së Magjistraturës.</w:t>
      </w:r>
    </w:p>
    <w:p w:rsidR="008B30BD" w:rsidRPr="00EE2DE7" w:rsidRDefault="008B30BD" w:rsidP="008B30BD">
      <w:pPr>
        <w:spacing w:line="276" w:lineRule="auto"/>
        <w:contextualSpacing/>
        <w:outlineLvl w:val="1"/>
        <w:rPr>
          <w:rFonts w:ascii="Cambria" w:eastAsia="Calibri" w:hAnsi="Cambria"/>
          <w:b/>
          <w:color w:val="244061"/>
          <w:spacing w:val="20"/>
          <w:kern w:val="24"/>
          <w:sz w:val="28"/>
          <w:szCs w:val="28"/>
        </w:rPr>
      </w:pPr>
    </w:p>
    <w:p w:rsidR="008B30BD" w:rsidRPr="008D2205" w:rsidRDefault="008B30BD" w:rsidP="008D2205">
      <w:pPr>
        <w:spacing w:line="276" w:lineRule="auto"/>
        <w:contextualSpacing/>
        <w:outlineLvl w:val="1"/>
        <w:rPr>
          <w:b/>
          <w:color w:val="CC9966" w:themeColor="accent2"/>
          <w:sz w:val="32"/>
        </w:rPr>
      </w:pPr>
      <w:r w:rsidRPr="008D2205">
        <w:rPr>
          <w:b/>
          <w:color w:val="CC9966" w:themeColor="accent2"/>
          <w:sz w:val="32"/>
        </w:rPr>
        <w:t>2.5</w:t>
      </w:r>
      <w:r w:rsidR="008D2205">
        <w:rPr>
          <w:b/>
          <w:color w:val="CC9966" w:themeColor="accent2"/>
          <w:sz w:val="32"/>
        </w:rPr>
        <w:t>.</w:t>
      </w:r>
      <w:r w:rsidRPr="008D2205">
        <w:rPr>
          <w:b/>
          <w:color w:val="CC9966" w:themeColor="accent2"/>
          <w:sz w:val="32"/>
        </w:rPr>
        <w:t xml:space="preserve"> </w:t>
      </w:r>
      <w:r w:rsidR="008D2205">
        <w:rPr>
          <w:b/>
          <w:color w:val="CC9966" w:themeColor="accent2"/>
          <w:sz w:val="32"/>
        </w:rPr>
        <w:t xml:space="preserve"> </w:t>
      </w:r>
      <w:r w:rsidRPr="008D2205">
        <w:rPr>
          <w:b/>
          <w:color w:val="CC9966" w:themeColor="accent2"/>
          <w:sz w:val="32"/>
        </w:rPr>
        <w:t>Bashkëpunimi me aktorë të rëndësishëm të sistemit të drejtësisë në vendin tonë</w:t>
      </w:r>
    </w:p>
    <w:p w:rsidR="008B30BD" w:rsidRPr="00EE2DE7" w:rsidRDefault="008B30BD" w:rsidP="008B30BD">
      <w:pPr>
        <w:spacing w:line="276" w:lineRule="auto"/>
        <w:ind w:firstLine="720"/>
        <w:jc w:val="both"/>
        <w:rPr>
          <w:rFonts w:eastAsia="Calibri"/>
          <w:kern w:val="24"/>
        </w:rPr>
      </w:pPr>
    </w:p>
    <w:p w:rsidR="008B30BD" w:rsidRPr="00EE2DE7" w:rsidRDefault="008B30BD" w:rsidP="008B30BD">
      <w:pPr>
        <w:spacing w:line="276" w:lineRule="auto"/>
        <w:ind w:firstLine="720"/>
        <w:jc w:val="both"/>
        <w:rPr>
          <w:rFonts w:eastAsia="Calibri"/>
          <w:kern w:val="24"/>
        </w:rPr>
      </w:pPr>
      <w:r w:rsidRPr="00EE2DE7">
        <w:rPr>
          <w:rFonts w:eastAsia="Calibri"/>
          <w:kern w:val="24"/>
        </w:rPr>
        <w:t xml:space="preserve">Ky bashkëpunim është shprehur në forma të ndryshme. Si të tilla mund të përmendim bashkëpunimin me Këshillin e Lartë të Drejtësisë, Gjykatën e Lartë, Prokurorinë e Përgjithshme etj. Këto bashkëpunime janë realizuar në formën e seminareve me qëllim që të sigurojnë informacion bashkëkohor për perfeksionimin e gjyqtarëve dhe prokurorëve. </w:t>
      </w:r>
    </w:p>
    <w:p w:rsidR="008B30BD" w:rsidRDefault="008B30BD" w:rsidP="008D2205">
      <w:pPr>
        <w:shd w:val="clear" w:color="auto" w:fill="FFFFFF"/>
        <w:spacing w:line="276" w:lineRule="auto"/>
        <w:ind w:firstLine="720"/>
        <w:jc w:val="both"/>
        <w:rPr>
          <w:rFonts w:eastAsia="Calibri"/>
          <w:kern w:val="24"/>
        </w:rPr>
      </w:pPr>
      <w:r w:rsidRPr="00EE2DE7">
        <w:rPr>
          <w:rFonts w:eastAsia="Calibri"/>
          <w:kern w:val="24"/>
        </w:rPr>
        <w:t>Shkolla, për realizimin e sesioneve trajnuese, është mbështetur edhe në bashkëpunimin me partnerët ndërkombëtarë, të cilët kanë dhënë një kontribut të konsiderueshëm në zhvillimin e veprimtarive për perfeksionimin e mëtejshëm profesional të magjistratëve shqiptarë. Ndër bashkëpunëtorët ndërkombëtarë mund të përmendim: OPDAT, OSBE, Fondacionin “</w:t>
      </w:r>
      <w:r w:rsidRPr="00EE2DE7">
        <w:rPr>
          <w:rFonts w:eastAsia="Calibri"/>
          <w:i/>
          <w:kern w:val="24"/>
        </w:rPr>
        <w:t xml:space="preserve">Terre des Hommes”, </w:t>
      </w:r>
      <w:r w:rsidRPr="00EE2DE7">
        <w:rPr>
          <w:rFonts w:eastAsia="Calibri"/>
          <w:kern w:val="24"/>
        </w:rPr>
        <w:t>Komitetin e Helsinkit të Holandës, Këshillin e Europës, Fondacionin SLYNN, Delegacionin e Bashkimit Europian, UNDP, EURALIUS etj.</w:t>
      </w:r>
    </w:p>
    <w:p w:rsidR="00B55A6F" w:rsidRDefault="00B55A6F" w:rsidP="008D2205">
      <w:pPr>
        <w:shd w:val="clear" w:color="auto" w:fill="FFFFFF"/>
        <w:spacing w:line="276" w:lineRule="auto"/>
        <w:ind w:firstLine="720"/>
        <w:jc w:val="both"/>
        <w:rPr>
          <w:rFonts w:eastAsia="Calibri"/>
          <w:kern w:val="24"/>
        </w:rPr>
      </w:pPr>
    </w:p>
    <w:p w:rsidR="00B55A6F" w:rsidRDefault="00B55A6F" w:rsidP="008D2205">
      <w:pPr>
        <w:shd w:val="clear" w:color="auto" w:fill="FFFFFF"/>
        <w:spacing w:line="276" w:lineRule="auto"/>
        <w:ind w:firstLine="720"/>
        <w:jc w:val="both"/>
        <w:rPr>
          <w:rFonts w:eastAsia="Calibri"/>
          <w:kern w:val="24"/>
        </w:rPr>
      </w:pPr>
    </w:p>
    <w:p w:rsidR="008D2205" w:rsidRPr="00EE2DE7" w:rsidRDefault="008D2205" w:rsidP="008D2205">
      <w:pPr>
        <w:shd w:val="clear" w:color="auto" w:fill="FFFFFF"/>
        <w:spacing w:line="276" w:lineRule="auto"/>
        <w:ind w:firstLine="720"/>
        <w:jc w:val="both"/>
        <w:rPr>
          <w:rFonts w:eastAsia="Calibri"/>
          <w:kern w:val="24"/>
        </w:rPr>
      </w:pPr>
    </w:p>
    <w:p w:rsidR="008B30BD" w:rsidRPr="008D2205" w:rsidRDefault="008B30BD" w:rsidP="008D2205">
      <w:pPr>
        <w:spacing w:line="276" w:lineRule="auto"/>
        <w:contextualSpacing/>
        <w:outlineLvl w:val="1"/>
        <w:rPr>
          <w:b/>
          <w:color w:val="CC9966" w:themeColor="accent2"/>
          <w:sz w:val="32"/>
        </w:rPr>
      </w:pPr>
      <w:r w:rsidRPr="008D2205">
        <w:rPr>
          <w:b/>
          <w:color w:val="CC9966" w:themeColor="accent2"/>
          <w:sz w:val="32"/>
        </w:rPr>
        <w:lastRenderedPageBreak/>
        <w:t>2.6</w:t>
      </w:r>
      <w:r w:rsidR="008D2205">
        <w:rPr>
          <w:b/>
          <w:color w:val="CC9966" w:themeColor="accent2"/>
          <w:sz w:val="32"/>
        </w:rPr>
        <w:t xml:space="preserve">. </w:t>
      </w:r>
      <w:r w:rsidRPr="008D2205">
        <w:rPr>
          <w:b/>
          <w:color w:val="CC9966" w:themeColor="accent2"/>
          <w:sz w:val="32"/>
        </w:rPr>
        <w:t xml:space="preserve"> Metodologjia e përdorur në hartimin e përmbajtjes tematike të Programit</w:t>
      </w:r>
    </w:p>
    <w:p w:rsidR="008B30BD" w:rsidRPr="00EE2DE7" w:rsidRDefault="008B30BD" w:rsidP="008B30BD">
      <w:pPr>
        <w:spacing w:before="240" w:after="80" w:line="276" w:lineRule="auto"/>
        <w:contextualSpacing/>
        <w:jc w:val="both"/>
        <w:outlineLvl w:val="1"/>
        <w:rPr>
          <w:rFonts w:ascii="Cambria" w:eastAsia="Calibri" w:hAnsi="Cambria"/>
          <w:b/>
          <w:color w:val="244061"/>
          <w:spacing w:val="20"/>
          <w:kern w:val="24"/>
          <w:sz w:val="28"/>
          <w:szCs w:val="28"/>
        </w:rPr>
      </w:pPr>
    </w:p>
    <w:p w:rsidR="008B30BD" w:rsidRPr="00EE2DE7" w:rsidRDefault="008B30BD" w:rsidP="008B30BD">
      <w:pPr>
        <w:tabs>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kern w:val="24"/>
        </w:rPr>
      </w:pPr>
      <w:r w:rsidRPr="00EE2DE7">
        <w:rPr>
          <w:rFonts w:eastAsia="Calibri"/>
          <w:kern w:val="24"/>
        </w:rPr>
        <w:tab/>
        <w:t xml:space="preserve">Ky informacion përsërit atë që është bërë në vitin 2006 kur u hartua PTV 2006-2009 dhe synon të përshkruajë gjithë procedurën e ndjekur nga Shkolla e Magjistraturës për hartimin e programit të ri të Formimit Vazhdues, i cili përfshin periudhën 2015-2018. Qëllimi i këtij informacioni është evidentimi i përpjekjeve që bëjmë në mënyrë të vazhdueshme, për të ofruar një shërbim të standardeve sa më të larta dhe sa më pranë kërkesave që paraqet sot sistemi ynë i drejtësisë, por edhe për t’u përballur me sfidat e së nesërmes. </w:t>
      </w:r>
    </w:p>
    <w:p w:rsidR="008B30BD" w:rsidRPr="00EE2DE7" w:rsidRDefault="008B30BD" w:rsidP="008B30BD">
      <w:pPr>
        <w:tabs>
          <w:tab w:val="left" w:pos="916"/>
          <w:tab w:val="left" w:pos="1832"/>
          <w:tab w:val="left" w:pos="2748"/>
          <w:tab w:val="left" w:pos="3664"/>
          <w:tab w:val="left" w:pos="4580"/>
          <w:tab w:val="left" w:pos="540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eastAsia="Calibri"/>
          <w:kern w:val="24"/>
        </w:rPr>
      </w:pPr>
      <w:r w:rsidRPr="00EE2DE7">
        <w:rPr>
          <w:rFonts w:eastAsia="Calibri"/>
          <w:kern w:val="24"/>
        </w:rPr>
        <w:tab/>
        <w:t>Mbërritja e këtij dokumenti në formatin e duhur ka ndjekur një rrugë të gjatë. I tillë është vetë procesi i identifikimit të nevojave. Procedura e përcaktimit të tematikës dhe e hartimit të PTV-së ka nisur muaj më parë. Në fakt nuk ka pasur ndërprerje në mbajtjen shënim të këtyre nevojave. Shkolla në vazhdimësi, edhe gjatë realizimit të programit ka pasur në qendër të vëmendjes identifikimin e nevojave të gjyqtarëve dhe prokurorëve në detyrë si dhe prioritetet e tyre për shkak të kërkesave të reformës në drejtësi. Këtu dallojmë disa hallka të tilla, si:</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Mënyra e përcaktimit të tematikës;</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Krijimi i grupit të ekspertëve që përshkruan përmbajtjen tematike të kurseve trajnuese;</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Miratimi i Programit prej Këshillit Drejtues;</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Mbështetja financiare për realizimin konkret të sesioneve të Formimit Vazhdues;</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Hartimi i kalendarit të aktiviteteve trajnuese;</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Përcaktimi i listës së ekspertëve;</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Hartimi i listave të pjesëmarrësve;</w:t>
      </w:r>
    </w:p>
    <w:p w:rsidR="008B30BD" w:rsidRPr="00EE2DE7" w:rsidRDefault="008B30BD" w:rsidP="005C2687">
      <w:pPr>
        <w:numPr>
          <w:ilvl w:val="0"/>
          <w:numId w:val="33"/>
        </w:numPr>
        <w:spacing w:line="276" w:lineRule="auto"/>
        <w:ind w:left="360"/>
        <w:rPr>
          <w:rFonts w:eastAsia="Calibri"/>
          <w:kern w:val="24"/>
        </w:rPr>
      </w:pPr>
      <w:r w:rsidRPr="00EE2DE7">
        <w:rPr>
          <w:rFonts w:eastAsia="Calibri"/>
          <w:kern w:val="24"/>
        </w:rPr>
        <w:t>Realizimi konkret i çdo sesioni trajnues.</w:t>
      </w:r>
      <w:bookmarkStart w:id="2" w:name="OLE_LINK23"/>
    </w:p>
    <w:p w:rsidR="008B30BD" w:rsidRPr="00EE2DE7" w:rsidRDefault="008B30BD" w:rsidP="008B30BD">
      <w:pPr>
        <w:spacing w:before="240" w:after="80" w:line="276" w:lineRule="auto"/>
        <w:contextualSpacing/>
        <w:outlineLvl w:val="1"/>
        <w:rPr>
          <w:rFonts w:ascii="Cambria" w:eastAsia="Calibri" w:hAnsi="Cambria"/>
          <w:b/>
          <w:color w:val="244061"/>
          <w:spacing w:val="20"/>
          <w:kern w:val="24"/>
          <w:sz w:val="28"/>
          <w:szCs w:val="28"/>
        </w:rPr>
      </w:pPr>
    </w:p>
    <w:p w:rsidR="008B30BD" w:rsidRDefault="008B30BD" w:rsidP="008D2205">
      <w:pPr>
        <w:spacing w:line="276" w:lineRule="auto"/>
        <w:contextualSpacing/>
        <w:outlineLvl w:val="1"/>
        <w:rPr>
          <w:b/>
          <w:color w:val="CC9966" w:themeColor="accent2"/>
          <w:sz w:val="32"/>
        </w:rPr>
      </w:pPr>
      <w:r w:rsidRPr="008D2205">
        <w:rPr>
          <w:b/>
          <w:color w:val="CC9966" w:themeColor="accent2"/>
          <w:sz w:val="32"/>
        </w:rPr>
        <w:t>2.7. Trajnimi i trajnerëve</w:t>
      </w:r>
    </w:p>
    <w:p w:rsidR="008D2205" w:rsidRPr="008D2205" w:rsidRDefault="008D2205" w:rsidP="008D2205">
      <w:pPr>
        <w:spacing w:line="276" w:lineRule="auto"/>
        <w:contextualSpacing/>
        <w:outlineLvl w:val="1"/>
        <w:rPr>
          <w:b/>
          <w:color w:val="CC9966" w:themeColor="accent2"/>
          <w:sz w:val="32"/>
        </w:rPr>
      </w:pPr>
    </w:p>
    <w:bookmarkEnd w:id="2"/>
    <w:p w:rsidR="008B30BD" w:rsidRPr="00EE2DE7" w:rsidRDefault="008B30BD" w:rsidP="008B30BD">
      <w:pPr>
        <w:spacing w:line="276" w:lineRule="auto"/>
        <w:ind w:firstLine="720"/>
        <w:jc w:val="both"/>
        <w:rPr>
          <w:rFonts w:eastAsia="Calibri"/>
          <w:iCs/>
          <w:kern w:val="24"/>
        </w:rPr>
      </w:pPr>
      <w:r w:rsidRPr="00EE2DE7">
        <w:rPr>
          <w:rFonts w:eastAsia="Calibri"/>
          <w:iCs/>
          <w:kern w:val="24"/>
        </w:rPr>
        <w:t>Në vitin akademik 2017-2018 ka pasur në total 3 (tri) aktivitete ToT, të cilat kanë qenë frytdhënëse dhe me interes për pjesëmarrësit.</w:t>
      </w:r>
    </w:p>
    <w:p w:rsidR="008B30BD" w:rsidRPr="00EE2DE7" w:rsidRDefault="008B30BD" w:rsidP="008B30BD">
      <w:pPr>
        <w:spacing w:line="276" w:lineRule="auto"/>
        <w:ind w:firstLine="720"/>
        <w:jc w:val="both"/>
        <w:rPr>
          <w:rFonts w:eastAsia="Calibri"/>
          <w:iCs/>
          <w:kern w:val="24"/>
        </w:rPr>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3E7455" w:rsidRDefault="003E7455" w:rsidP="009D3274">
      <w:pPr>
        <w:tabs>
          <w:tab w:val="left" w:pos="10260"/>
        </w:tabs>
        <w:jc w:val="both"/>
      </w:pPr>
    </w:p>
    <w:p w:rsidR="00B348F7" w:rsidRDefault="00B348F7" w:rsidP="009D3274">
      <w:pPr>
        <w:tabs>
          <w:tab w:val="left" w:pos="10260"/>
        </w:tabs>
        <w:jc w:val="both"/>
      </w:pPr>
    </w:p>
    <w:p w:rsidR="008D2205" w:rsidRDefault="008D2205" w:rsidP="009D3274">
      <w:pPr>
        <w:tabs>
          <w:tab w:val="left" w:pos="10260"/>
        </w:tabs>
        <w:jc w:val="both"/>
      </w:pPr>
    </w:p>
    <w:p w:rsidR="00B348F7" w:rsidRPr="006621AA" w:rsidRDefault="00B348F7" w:rsidP="009D3274">
      <w:pPr>
        <w:tabs>
          <w:tab w:val="left" w:pos="10260"/>
        </w:tabs>
        <w:jc w:val="both"/>
      </w:pPr>
    </w:p>
    <w:p w:rsidR="00832378" w:rsidRPr="006621AA" w:rsidRDefault="009D3274" w:rsidP="009D3274">
      <w:pPr>
        <w:spacing w:line="276" w:lineRule="auto"/>
        <w:jc w:val="both"/>
        <w:rPr>
          <w:b/>
          <w:color w:val="CC9966" w:themeColor="accent2"/>
          <w:sz w:val="32"/>
        </w:rPr>
      </w:pPr>
      <w:r w:rsidRPr="006621AA">
        <w:rPr>
          <w:b/>
          <w:color w:val="CC9966" w:themeColor="accent2"/>
          <w:sz w:val="32"/>
        </w:rPr>
        <w:t xml:space="preserve">2.4. </w:t>
      </w:r>
      <w:r w:rsidR="00832378" w:rsidRPr="006621AA">
        <w:rPr>
          <w:b/>
          <w:color w:val="CC9966" w:themeColor="accent2"/>
          <w:sz w:val="32"/>
        </w:rPr>
        <w:t>Target Market / Customer Profile</w:t>
      </w:r>
    </w:p>
    <w:p w:rsidR="00664743" w:rsidRPr="006621AA" w:rsidRDefault="00CF3AE0" w:rsidP="00B70876">
      <w:pPr>
        <w:tabs>
          <w:tab w:val="left" w:pos="10260"/>
        </w:tabs>
      </w:pPr>
      <w:r>
        <w:rPr>
          <w:noProof/>
          <w:lang w:eastAsia="en-US"/>
        </w:rPr>
        <w:pict>
          <v:rect id="Rectangle 211" o:spid="_x0000_s1033" style="position:absolute;margin-left:-25.7pt;margin-top:-26.15pt;width:601.9pt;height:43.2pt;z-index:2517068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" fillcolor="#4f81bd" stroked="f" strokeweight="2pt">
            <v:textbox>
              <w:txbxContent>
                <w:p w:rsidR="005372E3" w:rsidRPr="008D2205" w:rsidRDefault="005372E3" w:rsidP="008D2205">
                  <w:pPr>
                    <w:rPr>
                      <w:sz w:val="28"/>
                      <w:szCs w:val="56"/>
                    </w:rPr>
                  </w:pPr>
                  <w:r w:rsidRPr="008D2205">
                    <w:rPr>
                      <w:b/>
                      <w:color w:val="FFFFFF" w:themeColor="background1"/>
                      <w:sz w:val="40"/>
                      <w:szCs w:val="56"/>
                    </w:rPr>
                    <w:t xml:space="preserve">3. BASHKËPUNIMI ME </w:t>
                  </w:r>
                  <w:r w:rsidRPr="008D2205">
                    <w:rPr>
                      <w:b/>
                      <w:color w:val="FFFFFF" w:themeColor="background1"/>
                      <w:sz w:val="40"/>
                      <w:szCs w:val="36"/>
                    </w:rPr>
                    <w:t>PARTNERËT NDËRKOMBËTARË</w:t>
                  </w:r>
                </w:p>
              </w:txbxContent>
            </v:textbox>
          </v:rect>
        </w:pict>
      </w:r>
    </w:p>
    <w:p w:rsidR="008D2205" w:rsidRDefault="008D2205" w:rsidP="008D2205">
      <w:pPr>
        <w:spacing w:line="276" w:lineRule="auto"/>
        <w:jc w:val="both"/>
      </w:pPr>
    </w:p>
    <w:p w:rsidR="00386F89" w:rsidRPr="00D77236" w:rsidRDefault="00D77236" w:rsidP="00D77236">
      <w:pPr>
        <w:spacing w:line="276" w:lineRule="auto"/>
        <w:jc w:val="both"/>
        <w:rPr>
          <w:b/>
          <w:color w:val="CC9966" w:themeColor="accent2"/>
          <w:sz w:val="32"/>
        </w:rPr>
      </w:pPr>
      <w:r w:rsidRPr="00D77236">
        <w:rPr>
          <w:b/>
          <w:color w:val="CC9966" w:themeColor="accent2"/>
          <w:sz w:val="32"/>
        </w:rPr>
        <w:t>3.</w:t>
      </w:r>
      <w:r>
        <w:rPr>
          <w:b/>
          <w:color w:val="CC9966" w:themeColor="accent2"/>
          <w:sz w:val="32"/>
        </w:rPr>
        <w:t xml:space="preserve">1. </w:t>
      </w:r>
      <w:r w:rsidR="008D2205" w:rsidRPr="00D77236">
        <w:rPr>
          <w:b/>
          <w:color w:val="CC9966" w:themeColor="accent2"/>
          <w:sz w:val="32"/>
        </w:rPr>
        <w:t>Mbështetja financiare e aktiviteteve trajnuese nga partnerët ndërkombëtarë gjatë vitit akademik</w:t>
      </w:r>
      <w:r w:rsidR="00755BAF">
        <w:rPr>
          <w:b/>
          <w:color w:val="CC9966" w:themeColor="accent2"/>
          <w:sz w:val="32"/>
        </w:rPr>
        <w:t xml:space="preserve"> </w:t>
      </w:r>
      <w:r w:rsidR="008D2205" w:rsidRPr="00D77236">
        <w:rPr>
          <w:b/>
          <w:color w:val="CC9966" w:themeColor="accent2"/>
          <w:sz w:val="32"/>
        </w:rPr>
        <w:t xml:space="preserve"> 2017-2018</w:t>
      </w:r>
    </w:p>
    <w:p w:rsidR="008D2205" w:rsidRDefault="008D2205" w:rsidP="008D2205">
      <w:pPr>
        <w:spacing w:line="276" w:lineRule="auto"/>
        <w:jc w:val="both"/>
        <w:rPr>
          <w:b/>
          <w:color w:val="CC9966" w:themeColor="accent2"/>
          <w:sz w:val="32"/>
        </w:rPr>
      </w:pPr>
    </w:p>
    <w:p w:rsidR="008D2205" w:rsidRPr="00EE2DE7" w:rsidRDefault="008D2205" w:rsidP="00D77236">
      <w:pPr>
        <w:spacing w:line="276" w:lineRule="auto"/>
        <w:jc w:val="both"/>
        <w:rPr>
          <w:rFonts w:eastAsia="Calibri"/>
          <w:i/>
          <w:kern w:val="24"/>
        </w:rPr>
      </w:pPr>
      <w:r w:rsidRPr="00EE2DE7">
        <w:rPr>
          <w:rFonts w:eastAsia="Calibri"/>
          <w:kern w:val="24"/>
        </w:rPr>
        <w:t xml:space="preserve">Nga ana financiare u arrit realizimi i suksesshëm i një pjese të aktiviteteve me ndihmën dhe mbështetjen e drejtpërdrejtë të organizmave dhe të institucioneve të huaja. </w:t>
      </w:r>
    </w:p>
    <w:p w:rsidR="008D2205" w:rsidRPr="00EE2DE7" w:rsidRDefault="008D2205" w:rsidP="008D2205">
      <w:pPr>
        <w:spacing w:line="276" w:lineRule="auto"/>
        <w:ind w:firstLine="720"/>
        <w:jc w:val="both"/>
        <w:rPr>
          <w:rFonts w:eastAsia="Calibri"/>
          <w:kern w:val="24"/>
        </w:rPr>
      </w:pPr>
      <w:r w:rsidRPr="00EE2DE7">
        <w:rPr>
          <w:rFonts w:eastAsia="Calibri"/>
          <w:kern w:val="24"/>
        </w:rPr>
        <w:t>Qëllimi kryesor ishte përmirësimi i efikasitetit të sistemit gjyqësor me anë të forcimit të qëndrueshmërisë së Shkollës së Magjistraturës, duke rritur cilësinë e Trajnimit Fillestar dhe të Vazhduar si dhe forcimin e kapaciteteve menaxhuese të institucionit. Më konkretisht, mbështetje për Shkollën për ta kt</w:t>
      </w:r>
      <w:r>
        <w:rPr>
          <w:rFonts w:eastAsia="Calibri"/>
          <w:kern w:val="24"/>
        </w:rPr>
        <w:t xml:space="preserve">hyer në një institucion të vetë </w:t>
      </w:r>
      <w:r w:rsidRPr="00EE2DE7">
        <w:rPr>
          <w:rFonts w:eastAsia="Calibri"/>
          <w:kern w:val="24"/>
        </w:rPr>
        <w:t>qëndrueshëm brenda gjyqësorit.</w:t>
      </w:r>
    </w:p>
    <w:p w:rsidR="008D2205" w:rsidRDefault="008D2205" w:rsidP="00D77236">
      <w:pPr>
        <w:spacing w:line="276" w:lineRule="auto"/>
        <w:ind w:firstLine="720"/>
        <w:jc w:val="both"/>
        <w:rPr>
          <w:rFonts w:eastAsia="Calibri"/>
          <w:kern w:val="24"/>
        </w:rPr>
      </w:pPr>
      <w:r w:rsidRPr="00EE2DE7">
        <w:rPr>
          <w:rFonts w:eastAsia="Calibri"/>
          <w:kern w:val="24"/>
        </w:rPr>
        <w:t>Shkolla e Magjistraturës, përsa i përket sesioneve trajnuese të zhvilluara në kuadër të bashkëpunimit me partnerët ndërkombëtarë, është përgjegjëse për organizmin dhe administrimin e këtyre aktiviteteve, duke u kujdesur për hartimin e programit dhe të kalendarit të Formimit Vazhdues; në ofrimin e mjediseve të duhura për zhvillimin e sesioneve; të pajisjeve të përkthimit simultan; në rregullimin e shërbimeve aksesore lehtësuese për realizimin e kurseve; në pajisjen me materialet e fotokopjuara për çdo temë të përgatitur; hartimin e listave të pjesëmarrësve; ftesat për pjesëmarrësit; moderimin dhe vlerësimin e seancave trajnuese; pagat e punonjësve; shpenzimet administrative dhe mirëmbajtjes së mjediseve; sigurimit të karburantit (gjeneratori); shpenzimet e postimit të ftesave; telefonat etj.</w:t>
      </w:r>
    </w:p>
    <w:p w:rsidR="00D77236" w:rsidRPr="00D77236" w:rsidRDefault="00D77236" w:rsidP="00D77236">
      <w:pPr>
        <w:spacing w:line="276" w:lineRule="auto"/>
        <w:ind w:firstLine="720"/>
        <w:jc w:val="both"/>
        <w:rPr>
          <w:rFonts w:eastAsia="Calibri"/>
          <w:kern w:val="24"/>
        </w:rPr>
      </w:pPr>
    </w:p>
    <w:p w:rsidR="008D2205" w:rsidRPr="00D77236" w:rsidRDefault="008D2205" w:rsidP="008D2205">
      <w:pPr>
        <w:spacing w:after="200" w:line="276" w:lineRule="auto"/>
        <w:jc w:val="both"/>
        <w:rPr>
          <w:b/>
          <w:color w:val="CC9966" w:themeColor="accent2"/>
        </w:rPr>
      </w:pPr>
      <w:r w:rsidRPr="00D77236">
        <w:rPr>
          <w:b/>
          <w:color w:val="CC9966" w:themeColor="accent2"/>
        </w:rPr>
        <w:t>TABELA E MBËSHTETJES FINANCIARE NGA PARTNERËT NDËRKOMBËTARË</w:t>
      </w:r>
    </w:p>
    <w:tbl>
      <w:tblPr>
        <w:tblStyle w:val="LightGrid-Accent2"/>
        <w:tblW w:w="9985" w:type="dxa"/>
        <w:tblLayout w:type="fixed"/>
        <w:tblLook w:val="04A0" w:firstRow="1" w:lastRow="0" w:firstColumn="1" w:lastColumn="0" w:noHBand="0" w:noVBand="1"/>
      </w:tblPr>
      <w:tblGrid>
        <w:gridCol w:w="583"/>
        <w:gridCol w:w="1424"/>
        <w:gridCol w:w="1678"/>
        <w:gridCol w:w="6300"/>
      </w:tblGrid>
      <w:tr w:rsidR="008D2205" w:rsidRPr="00EE2DE7" w:rsidTr="00D77236">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2737A9">
            <w:pPr>
              <w:jc w:val="center"/>
              <w:rPr>
                <w:rFonts w:ascii="Times New Roman" w:eastAsia="Calibri" w:hAnsi="Times New Roman" w:cs="Times New Roman"/>
                <w:b w:val="0"/>
                <w:kern w:val="24"/>
              </w:rPr>
            </w:pPr>
            <w:r w:rsidRPr="00EE2DE7">
              <w:rPr>
                <w:rFonts w:ascii="Times New Roman" w:eastAsia="Calibri" w:hAnsi="Times New Roman" w:cs="Times New Roman"/>
                <w:b w:val="0"/>
                <w:kern w:val="24"/>
              </w:rPr>
              <w:t>Nr.</w:t>
            </w:r>
          </w:p>
        </w:tc>
        <w:tc>
          <w:tcPr>
            <w:tcW w:w="1424" w:type="dxa"/>
          </w:tcPr>
          <w:p w:rsidR="008D2205" w:rsidRPr="00EE2DE7" w:rsidRDefault="008D2205" w:rsidP="002737A9">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kern w:val="24"/>
              </w:rPr>
            </w:pPr>
            <w:r w:rsidRPr="00EE2DE7">
              <w:rPr>
                <w:rFonts w:ascii="Times New Roman" w:eastAsia="Calibri" w:hAnsi="Times New Roman" w:cs="Times New Roman"/>
                <w:b w:val="0"/>
                <w:kern w:val="24"/>
              </w:rPr>
              <w:t>Datat</w:t>
            </w:r>
            <w:r w:rsidRPr="00EE2DE7">
              <w:rPr>
                <w:rFonts w:ascii="Times New Roman" w:eastAsia="Calibri" w:hAnsi="Times New Roman" w:cs="Times New Roman"/>
                <w:b w:val="0"/>
                <w:kern w:val="24"/>
                <w:vertAlign w:val="superscript"/>
              </w:rPr>
              <w:footnoteReference w:id="6"/>
            </w:r>
          </w:p>
        </w:tc>
        <w:tc>
          <w:tcPr>
            <w:tcW w:w="1678" w:type="dxa"/>
          </w:tcPr>
          <w:p w:rsidR="008D2205" w:rsidRPr="00EE2DE7" w:rsidRDefault="008D2205" w:rsidP="002737A9">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kern w:val="24"/>
              </w:rPr>
            </w:pPr>
            <w:r w:rsidRPr="00EE2DE7">
              <w:rPr>
                <w:rFonts w:ascii="Times New Roman" w:eastAsia="Calibri" w:hAnsi="Times New Roman" w:cs="Times New Roman"/>
                <w:b w:val="0"/>
                <w:kern w:val="24"/>
              </w:rPr>
              <w:t>Donator /realizimi financiar</w:t>
            </w:r>
          </w:p>
        </w:tc>
        <w:tc>
          <w:tcPr>
            <w:tcW w:w="6300" w:type="dxa"/>
          </w:tcPr>
          <w:p w:rsidR="008D2205" w:rsidRPr="00EE2DE7" w:rsidRDefault="008D2205" w:rsidP="002737A9">
            <w:pPr>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kern w:val="24"/>
              </w:rPr>
            </w:pPr>
          </w:p>
          <w:p w:rsidR="008D2205" w:rsidRPr="00EE2DE7" w:rsidRDefault="008D2205" w:rsidP="002737A9">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kern w:val="24"/>
              </w:rPr>
            </w:pPr>
            <w:r w:rsidRPr="00EE2DE7">
              <w:rPr>
                <w:rFonts w:ascii="Times New Roman" w:eastAsia="Calibri" w:hAnsi="Times New Roman" w:cs="Times New Roman"/>
                <w:b w:val="0"/>
                <w:kern w:val="24"/>
              </w:rPr>
              <w:t>KODET/FUSHAT</w:t>
            </w:r>
            <w:r w:rsidRPr="00EE2DE7">
              <w:rPr>
                <w:rFonts w:ascii="Times New Roman" w:eastAsia="Calibri" w:hAnsi="Times New Roman" w:cs="Times New Roman"/>
                <w:b w:val="0"/>
                <w:kern w:val="24"/>
                <w:vertAlign w:val="superscript"/>
              </w:rPr>
              <w:footnoteReference w:id="7"/>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21-22 shtator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OSBE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Menaxhimi aktiv i çështjeve gjyqësore (gjyqtarët dhe kancelari i Gjykatës së Rrethit Gjyqësor Fier).</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28 shtator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rFonts w:eastAsia="Times New Roman"/>
                <w:kern w:val="24"/>
                <w:lang w:eastAsia="en-GB"/>
              </w:rPr>
            </w:pPr>
            <w:r w:rsidRPr="00EE2DE7">
              <w:rPr>
                <w:kern w:val="24"/>
              </w:rPr>
              <w:t>Twining project IPA</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E drejta e konsumatorit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Zhvillimet në legjislacionin e mbrojtjes së konsumatorëve në kuadrin e BE-së dhe çështjet më me rëndësi lidhur me praktikat e tregtisë së pandershme dhe kushtet e tilla në një kontratë;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Përkufizimet e konsumatorit dhe tregtarit, fushëveprimi i mbrojtjes së konsumatorit;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lastRenderedPageBreak/>
              <w:t>•</w:t>
            </w:r>
            <w:r w:rsidRPr="00EE2DE7">
              <w:rPr>
                <w:rFonts w:eastAsia="Times New Roman"/>
                <w:kern w:val="24"/>
              </w:rPr>
              <w:tab/>
              <w:t xml:space="preserve">Dispozitat kryesore të Direktivës së të Drejtave të Konsumatorit (CRD) (2011/83 / BE); Zgjidhja alternative e mosmarrëveshjeve të konsumatorëve (Direktiva 2013/11 /BE); Zgjidhja e mosmarrëveshjeve </w:t>
            </w:r>
            <w:r w:rsidRPr="00EE2DE7">
              <w:rPr>
                <w:rFonts w:eastAsia="Times New Roman"/>
                <w:i/>
                <w:kern w:val="24"/>
              </w:rPr>
              <w:t>online</w:t>
            </w:r>
            <w:r w:rsidRPr="00EE2DE7">
              <w:rPr>
                <w:rFonts w:eastAsia="Times New Roman"/>
                <w:kern w:val="24"/>
              </w:rPr>
              <w:t xml:space="preserve"> të konsumatorëve (Rregullorja 524/2013);</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Praktikat e pandershme tregtare (Direktiva 2005/29 / EC): rregullat kryesore dhe rastet praktike; Kushtet e papërshtatshme të kontratës (Direktiva 93/13 / EEC): rregullat kryesore dhe rastet praktike.</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28-29 shtator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rFonts w:eastAsia="Times New Roman"/>
                <w:kern w:val="24"/>
                <w:lang w:eastAsia="en-GB"/>
              </w:rPr>
            </w:pPr>
            <w:r w:rsidRPr="00EE2DE7">
              <w:rPr>
                <w:rFonts w:eastAsia="Times New Roman"/>
                <w:kern w:val="24"/>
                <w:lang w:eastAsia="en-GB"/>
              </w:rPr>
              <w:t>Komisioni Europian Programi i Asistencës Teknike TAIEX/KE Ministria e Kulturës, Drejtoria për të Drejtën e Autorit.</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Mbi zbatimin e të Drejtës së Autorit për sistemin e drejtësisë dhe institucionet e tjera ligjzbatuese.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Situata aktuale në Shqipëri lidhur me kuadrin ligjor dhe  problematikat e sfidat e zbatimit në praktikë.</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5-6 tetor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EURALIUS</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Gjykimi në mungesë.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Gjykimi në mungesë sipas nenit 6 të Konventës Europiane për të Drejtat e Njeriut;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Jurisprudenca e Gjykatës Europiane të të Drejtave të Njeriut me fokus kryesor në praninë e të pandehurit në gjykim;</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Legjislacioni shqiptar dhe probleme të praktikës gjyqësore shqiptare.</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6 tetor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BE/KiE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Forcimi i efikasitetit dhe cilësisë së gjyqësorit në Shqipëri (SEJ II)</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ToT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16 tetor</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Pr>
                <w:kern w:val="24"/>
                <w:u w:val="wave"/>
              </w:rPr>
              <w:t>Ministria e Drejtësisë/SH</w:t>
            </w:r>
            <w:r w:rsidRPr="00EE2DE7">
              <w:rPr>
                <w:kern w:val="24"/>
                <w:u w:val="wave"/>
              </w:rPr>
              <w:t>M/European Centre/Fondacioni Konrad Adenhauer</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Roli progresiv i administratës gjyqësore në sfidat e zbatimit të reformës në drejtësi: etika dhe komunikimi në seancat gjyqësore dhe sjellja me palët.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17 tetor</w:t>
            </w:r>
          </w:p>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Ministria e Drejtësisë/SHM/European Centre/Fondacioni Konrad Adenhauer</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Roli progresiv i administratës gjyqësore në sfidat e zbatimit të reformës në drejtësi: etika dhe komunikimi në seancat gjyqësore dhe sjellja me palët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20 tetor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European Centre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Pavarësia dhe paanësia e gjyqësorit sipas standardeve të GJEDNJ-së. Drejtësia duhet jo vetëm të bëhet, por edhe të shihet.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23-24 tetor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Projekti i Këshillit të Europës për Krimin Kibernetik</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Krimi kibernetik.</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Evidentimi i krimit kibernetik;</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Procedimi penal në rastet e krimit kibernetik: dëshmitë elektronike;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Të ardhurat nga krimi online;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Përdorimi i internetit për qëllime terroriste.</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24-25 tetor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Save the children</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Kujdestaria alternative me bazë familjen.</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Legjislacioni në fuqi lidhur me institutin e kujdestarisë dhe problematika e praktikës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Përvoja ndërkombëtare pozitive dhe praktika e GJEDNJ-së lidhur me institutin e kujdestarisë;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Problemet e zbatimit të kuadrit ligjor në fuqi dhe nevoja e përqasjes me standardet ndërkombëtare.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Objektivat e trajnimit: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Informimin e gjyqtareve të të drejtës familjare mbi kujdestarinë alternative me bazë familjen;</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 xml:space="preserve">Ndarja e eksperiencave me ekspertë homologë holandezë; </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Rekomandime të grupit të gjyqtarëve mbi përmirësime të nevojshme ligjore në Kodin e Familjes.</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26-27 tetor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OSBE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Menaxhimi aktiv i çështjeve gjyqësore (gjyqtarët dhe kancelari i Gjykatës së Rrethit Gjyqësor Berat)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26-27 tetor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EURALIUS</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Të drejtat e viktimës në dhe gjatë procesit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Standardet e BE-së mbi të drejtat e viktimës dhe të të pandehurit në procesin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Roli i viktimës në seancën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Roli i viktimës gjatë gjykimit;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Riviktimizimi;</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Mjetet procedurale për mosmarrjen e dëshmisë së përsëritur gjatë proceseve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Paragjykimet: indikator në komunikimin dhe trajtimin e viktimave. Llojet e paragjykimeve dhe ndikimi i tyre në komunikimin verbal dhe joverbal. Si janë krijuar qëndrimet, vlerat, besimet? Si ndërhyjnë këto në komunikim me njerëzit që punojmë? Si reflektohen në qëndrimet që mbahen me rastet që punojmë? Si ndikojnë në cilësinë e punës si gjyqtar apo prokuror?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26-27 -28 tetor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Akademia e Drejtësisë s</w:t>
            </w:r>
            <w:r w:rsidRPr="00EE2DE7">
              <w:rPr>
                <w:rFonts w:eastAsia="MS Mincho"/>
                <w:kern w:val="24"/>
              </w:rPr>
              <w:t>ë</w:t>
            </w:r>
            <w:r w:rsidRPr="00EE2DE7">
              <w:rPr>
                <w:kern w:val="24"/>
                <w:u w:val="wave"/>
              </w:rPr>
              <w:t xml:space="preserve"> Kosovës / USAID</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Standardet europiane lidhur me barazin</w:t>
            </w:r>
            <w:r w:rsidRPr="00EE2DE7">
              <w:rPr>
                <w:rFonts w:eastAsia="MS Mincho"/>
                <w:kern w:val="24"/>
              </w:rPr>
              <w:t>ë</w:t>
            </w:r>
            <w:r w:rsidRPr="00EE2DE7">
              <w:rPr>
                <w:rFonts w:eastAsia="Times New Roman"/>
                <w:kern w:val="24"/>
              </w:rPr>
              <w:t xml:space="preserve"> dhe mos diskriminimin – r</w:t>
            </w:r>
            <w:r w:rsidRPr="00EE2DE7">
              <w:rPr>
                <w:rFonts w:eastAsia="MS Mincho"/>
                <w:kern w:val="24"/>
              </w:rPr>
              <w:t>ë</w:t>
            </w:r>
            <w:r w:rsidRPr="00EE2DE7">
              <w:rPr>
                <w:rFonts w:eastAsia="Times New Roman"/>
                <w:kern w:val="24"/>
              </w:rPr>
              <w:t>nd</w:t>
            </w:r>
            <w:r w:rsidRPr="00EE2DE7">
              <w:rPr>
                <w:rFonts w:eastAsia="MS Mincho"/>
                <w:kern w:val="24"/>
              </w:rPr>
              <w:t>ë</w:t>
            </w:r>
            <w:r w:rsidRPr="00EE2DE7">
              <w:rPr>
                <w:rFonts w:eastAsia="Times New Roman"/>
                <w:kern w:val="24"/>
              </w:rPr>
              <w:t>sia e njohjes dhe zbatimit t</w:t>
            </w:r>
            <w:r w:rsidRPr="00EE2DE7">
              <w:rPr>
                <w:rFonts w:eastAsia="MS Mincho"/>
                <w:kern w:val="24"/>
              </w:rPr>
              <w:t>ë</w:t>
            </w:r>
            <w:r w:rsidRPr="00EE2DE7">
              <w:rPr>
                <w:rFonts w:eastAsia="Times New Roman"/>
                <w:kern w:val="24"/>
              </w:rPr>
              <w:t xml:space="preserve"> tyre nga sistemi i drejt</w:t>
            </w:r>
            <w:r w:rsidRPr="00EE2DE7">
              <w:rPr>
                <w:rFonts w:eastAsia="MS Mincho"/>
                <w:kern w:val="24"/>
              </w:rPr>
              <w:t>ë</w:t>
            </w:r>
            <w:r w:rsidRPr="00EE2DE7">
              <w:rPr>
                <w:rFonts w:eastAsia="Times New Roman"/>
                <w:kern w:val="24"/>
              </w:rPr>
              <w:t>sis</w:t>
            </w:r>
            <w:r w:rsidRPr="00EE2DE7">
              <w:rPr>
                <w:rFonts w:eastAsia="MS Mincho"/>
                <w:kern w:val="24"/>
              </w:rPr>
              <w:t>ë</w:t>
            </w:r>
            <w:r w:rsidRPr="00EE2DE7">
              <w:rPr>
                <w:rFonts w:eastAsia="Times New Roman"/>
                <w:kern w:val="24"/>
              </w:rPr>
              <w:t>. Terrenet e mbrojtura - jurisprudenca e GJEDNJ-s</w:t>
            </w:r>
            <w:r w:rsidRPr="00EE2DE7">
              <w:rPr>
                <w:rFonts w:eastAsia="MS Mincho"/>
                <w:kern w:val="24"/>
              </w:rPr>
              <w:t>ë</w:t>
            </w:r>
            <w:r w:rsidRPr="00EE2DE7">
              <w:rPr>
                <w:rFonts w:eastAsia="Times New Roman"/>
                <w:kern w:val="24"/>
              </w:rPr>
              <w:t xml:space="preserve"> dhe GJED-s</w:t>
            </w:r>
            <w:r w:rsidRPr="00EE2DE7">
              <w:rPr>
                <w:rFonts w:eastAsia="MS Mincho"/>
                <w:kern w:val="24"/>
              </w:rPr>
              <w:t>ë.</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Kuadri ligjor vendas dhe praktika gjyq</w:t>
            </w:r>
            <w:r w:rsidRPr="00EE2DE7">
              <w:rPr>
                <w:rFonts w:eastAsia="MS Mincho"/>
                <w:kern w:val="24"/>
              </w:rPr>
              <w:t>ë</w:t>
            </w:r>
            <w:r w:rsidRPr="00EE2DE7">
              <w:rPr>
                <w:rFonts w:eastAsia="Times New Roman"/>
                <w:kern w:val="24"/>
              </w:rPr>
              <w:t>sore lidhur me barazin</w:t>
            </w:r>
            <w:r w:rsidRPr="00EE2DE7">
              <w:rPr>
                <w:rFonts w:eastAsia="MS Mincho"/>
                <w:kern w:val="24"/>
              </w:rPr>
              <w:t>ë</w:t>
            </w:r>
            <w:r w:rsidRPr="00EE2DE7">
              <w:rPr>
                <w:rFonts w:eastAsia="Times New Roman"/>
                <w:kern w:val="24"/>
              </w:rPr>
              <w:t xml:space="preserve"> dhe mosdiskriminimin. </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Kuadri institucional lidhur me ç</w:t>
            </w:r>
            <w:r w:rsidRPr="00EE2DE7">
              <w:rPr>
                <w:rFonts w:eastAsia="MS Mincho"/>
                <w:kern w:val="24"/>
              </w:rPr>
              <w:t>ë</w:t>
            </w:r>
            <w:r w:rsidRPr="00EE2DE7">
              <w:rPr>
                <w:rFonts w:eastAsia="Times New Roman"/>
                <w:kern w:val="24"/>
              </w:rPr>
              <w:t>shtjet e barazis</w:t>
            </w:r>
            <w:r w:rsidRPr="00EE2DE7">
              <w:rPr>
                <w:rFonts w:eastAsia="MS Mincho"/>
                <w:kern w:val="24"/>
              </w:rPr>
              <w:t>ë</w:t>
            </w:r>
            <w:r w:rsidRPr="00EE2DE7">
              <w:rPr>
                <w:rFonts w:eastAsia="Times New Roman"/>
                <w:kern w:val="24"/>
              </w:rPr>
              <w:t xml:space="preserve"> dhe mosdiskriminimit. </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6-7 nëntor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SHM/Projekti i Këshillit të Europës për Krimin Kibernetik</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Krimi kibernetik.</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Evidentimi i krimit kibernetik;</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Procedimi Penal në rastet e krimit kibernetik: dëshmitë elektronike;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Të ardhurat nga krimi online;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Përdorimi i internetit për qëllime terroriste.</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6-7 nëntor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EURALIUS</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Gjykimi në Gjykatën e shkallës së parë dhe të Apelit në kuadrin e risive të Kodit të Procedurës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Bashkimi i çështjeve në një gjykim të vetëm. Kuptimi mbi gjykimin e shkurtuar në çështjet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Shqyrtimi i padive për shuma të vogla dhe procedurat përkatëse;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Procedura e re e “njoftimit me shpallje publike”, “roli i përmbaruesit në procesin e njoftimit në gjykatë” me fokus në nenet 133 deri 144/a të Kodit të Procedurës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Vendimet e gjyqtarit gjatë veprimeve paraprake; Seanca përgatitore; Urdhri për caktimin e seancës gjyqësore; Veprimet e pajtimit; Bashkëndërgjyqësia e detyrueshme me fokus në nenet 158/a - 161 të Kodit të Procedurës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Gjykimi i kërkesave për konstatimin e shkeljes së afatit të arsyeshëm, përshpejtimin e procedimit dhe shpërblimin e dëmit me fokus në nenet 399/1 - 399/11 të Kodit të Procedurës Civile dhe nenit 109 të ligjit nr. 38/2017.</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6-7 nëntor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CoE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Dita e parë: “Trajnimin mbi mjetet efektive p</w:t>
            </w:r>
            <w:r w:rsidRPr="00EE2DE7">
              <w:rPr>
                <w:rFonts w:eastAsia="MS Mincho"/>
                <w:kern w:val="24"/>
              </w:rPr>
              <w:t>ë</w:t>
            </w:r>
            <w:r w:rsidRPr="00EE2DE7">
              <w:rPr>
                <w:rFonts w:eastAsia="Calibri"/>
                <w:kern w:val="24"/>
              </w:rPr>
              <w:t>r t</w:t>
            </w:r>
            <w:r w:rsidRPr="00EE2DE7">
              <w:rPr>
                <w:rFonts w:eastAsia="MS Mincho"/>
                <w:kern w:val="24"/>
              </w:rPr>
              <w:t>ë</w:t>
            </w:r>
            <w:r w:rsidRPr="00EE2DE7">
              <w:rPr>
                <w:rFonts w:eastAsia="Calibri"/>
                <w:kern w:val="24"/>
              </w:rPr>
              <w:t xml:space="preserve"> adresuar tejzgjatjen e proceseve gjyq</w:t>
            </w:r>
            <w:r w:rsidRPr="00EE2DE7">
              <w:rPr>
                <w:rFonts w:eastAsia="MS Mincho"/>
                <w:kern w:val="24"/>
              </w:rPr>
              <w:t>ë</w:t>
            </w:r>
            <w:r w:rsidRPr="00EE2DE7">
              <w:rPr>
                <w:rFonts w:eastAsia="Calibri"/>
                <w:kern w:val="24"/>
              </w:rPr>
              <w:t>sore, si dhe rishikimin e proceseve penale”; Dita e dytë: “Trajnimin mbi kthimin dhe kompensimin e pronave”. (ToT)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8-9 nëntor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EURALIUS</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Gjykimi në Gjykatën e shkallës së parë dhe të Apelit në kuadrin e risive të Kodit të Procedurës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Bashkimi i çështjeve në një gjykim të vetëm. Kuptimi mbi gjykimin e shkurtuar në çështjet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Shqyrtimi i padive për shuma të vogla dhe procedurat përkatëse;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Procedura e re e “njoftimit me shpallje publike”, “roli i përmbaruesit në procesin e njoftimit në gjykatë” me fokus në nenet 133 deri 144/a të Kodit të Procedurës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Vendimet e gjyqtarit gjatë veprimeve paraprake; Seanca përgatitore; Urdhri për caktimin e seancës gjyqësore; Veprimet e pajtimit; Bashkëndërgjyqësia e detyrueshme me fokus në nenet 158/a - 161 të Kodit të Procedurës Civile;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Gjykimi i kërkesave për konstatimin e shkeljes së afatit të arsyeshëm, përshpejtimin e procedimit dhe shpërblimin e dëmit me fokus në nenet 399/1 - 399/11 të Kodit të Procedurës Civile dhe nenit 109 të ligjit nr. 38/2017.</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9-10 nëntor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 xml:space="preserve">SHM/South Eastern Europe, (REC) </w:t>
            </w:r>
            <w:r w:rsidRPr="00EE2DE7">
              <w:rPr>
                <w:kern w:val="24"/>
                <w:u w:val="wave"/>
              </w:rPr>
              <w:lastRenderedPageBreak/>
              <w:t>Projekti: Better Access to Justice</w:t>
            </w: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lastRenderedPageBreak/>
              <w:t>Aksesi në drejtësi nën këndvështrimin e Konventës së Aarhusit, në lidhje me direktivat e BE-së dhe legjislacionin kombëtar në fushën e mjedisit.</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9-10 nëntor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ISLP/SHM</w:t>
            </w:r>
          </w:p>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Drejtësia penale për të mitur.</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 xml:space="preserve">Standardet ndërkombëtare lidhur me parimet e drejtësisë miqësore për të miturit dhe risitë e legjislacionit shqiptar (Kodi i Procedurës Penale dhe Kodi i Drejtësisë Penale për të Mitur); </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Mbrojtja e interesit më të lartë të fëmijës;</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Pozita procedurale e të miturit në dhe gjatë procesit penal sipas Kodit të Drejtësisë Penale për të Mitur;</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Mbrojtja e të drejtave të të miturit dëshmitar (Kodi i Procedurës Penale dhe Kodi i Drejtësisë Penale për të mitur);</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Integrimi social dhe rehabilitimi i fëmijëve në konflikt me ligjin.</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2033"/>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13-14 nëntor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EURALIUS</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Gjykimi me Urdhër Penal dhe me marrëveshje si dy risi të KPP-së;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Gjykimet e posaçme;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Gjykimi i shkurtuar;</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Calibri"/>
                <w:kern w:val="24"/>
              </w:rPr>
              <w:t>Standardi kushtetues dhe gjykimi i drejtpërdrejtë. Analizë e vendimit nr. 4, datë 10.2.2012 i Gjykatës Kushtetuese lidhur me gjykimin e shkurtuar.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80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13-17 nëntor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SHM/Slynn Foundation</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ToT Shkrimi gjyqësor dhe administrimi i gjykatave.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(pjesëmarrës gjyqtarë)</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13-14 nëntor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ISLP</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Integriteti i zyrtarëve të agjencive ligjzbatuese dhe lufta kundër korrupsionit. Korrupsioni i funksionarëve të lartë të drejtësisë dhe zyrtarëve të tjerë të lartë shtetërorë.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Korrupsioni si një çështje etike v si një vepër penale.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Kuadri ligjor dhe standardet ndërkombëtare;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Problemet e praktikës gjyqësore, në lidhje me hetimin dhe gjykimin e këtyre veprave penale;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Standardet e kërkuara në marrëdhëniet profesionale midis gjyqtarëve dhe prokurorëve si dhe gjyqtarëve/prokurorëve dhe avokatëve. (25 pjesëmarrës gjyqtarë/prokurorë të gjykatave/prokurorive të shkallës së parë).</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16-17 nëntor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OSBE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Menaxhimi aktiv i çështjeve gjyqësore (gjyqtarët dhe kancelari i Gjykatës së Rrethit Gjyqësor Vlorë).</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20 nëntor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PAMECA V / SHM</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Parandalimi dhe goditja e krimit të organizuar, trafikimit, korrupsionit dhe veprave të tjera penale.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Konventat ndërkombëtare lidhur me pastrimin e produkteve të veprës penale. Vështrim i shkurtër mbi Konventën  e Varshavës, Palermos  e Vjenës;</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Legjislacioni procedural penal mbi sekuestrimin dhe konfiskimin e pasurive;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lastRenderedPageBreak/>
              <w:t>•</w:t>
            </w:r>
            <w:r w:rsidRPr="00EE2DE7">
              <w:rPr>
                <w:rFonts w:eastAsia="Calibri"/>
                <w:kern w:val="24"/>
              </w:rPr>
              <w:tab/>
              <w:t>Zbatimi i ligjit nr. 10192, datë 3.12.2009, “</w:t>
            </w:r>
            <w:r w:rsidRPr="00EE2DE7">
              <w:rPr>
                <w:rFonts w:eastAsia="Calibri"/>
                <w:i/>
                <w:kern w:val="24"/>
              </w:rPr>
              <w:t>Për parandalimin dhe goditjen e krimit të organizuar, trafikimit, korrupsionit dhe krimeve të tjera nëpërmjet masave parandaluese kundër pasurisë</w:t>
            </w:r>
            <w:r w:rsidRPr="00EE2DE7">
              <w:rPr>
                <w:rFonts w:eastAsia="Calibri"/>
                <w:kern w:val="24"/>
              </w:rPr>
              <w:t>” dhe risitë e tij;</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Prezumimi i regjistrimit të rremë të pasurive dhe veprimtarive ekonomike të personave të përfshirë në veprat penale përkatëse;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Kompetencat e gjykatës për  shqyrtimin e veprës penale të pastrimit të parave;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Dobësimi i financave të rrjeteve kriminale të krimit të organizuar dhe terrorizmit nëpërmjet sh</w:t>
            </w:r>
            <w:r>
              <w:rPr>
                <w:rFonts w:eastAsia="Calibri"/>
                <w:kern w:val="24"/>
              </w:rPr>
              <w:t>ënje</w:t>
            </w:r>
            <w:r w:rsidRPr="00EE2DE7">
              <w:rPr>
                <w:rFonts w:eastAsia="Calibri"/>
                <w:kern w:val="24"/>
              </w:rPr>
              <w:t>strimit, sekuestrimit dhe konfiskimit të pasurive dhe të ardhurave të përfituara nga aktiviteti kriminal</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21 nëntor</w:t>
            </w:r>
          </w:p>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Ministria e Drejtësisë/SHM/European Centre/Fondacioni Konrad Adenhauer</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Roli progresiv i administratës gjyqësore në sfidat e zbatimit të reformës në drejtësi: etika dhe komunikimi në seancat gjyqësore dhe sjellja me palët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22 nëntor</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Ministria e Drejtësisë/SHM/European Centre/Fondacioni Konrad Adenhauer</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Roli progresiv i administratës gjyqësore në sfidat e zbatimit të reformës në drejtësi: etika dhe komunikimi në seancat gjyqësore dhe sjellja me palët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23-24 nëntor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KiE</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Calibri"/>
                <w:bCs/>
                <w:kern w:val="24"/>
              </w:rPr>
            </w:pPr>
            <w:r w:rsidRPr="00EE2DE7">
              <w:rPr>
                <w:rFonts w:eastAsia="Calibri"/>
                <w:bCs/>
                <w:kern w:val="24"/>
              </w:rPr>
              <w:t>Ushtrimi i balancimit  të rasteve të shpifjes - balancimi i të drejtave të reputacionit dhe liria e shprehjes.</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4-5 dhjetor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OSBE/SHM</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Roli i alternativave të dënimit me burgim dhe shërbimi i provës.</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 xml:space="preserve">Risitë e Kodit Penal lidhur me alternativat e dënimit me burgim. Ligji </w:t>
            </w:r>
            <w:r>
              <w:rPr>
                <w:rFonts w:eastAsia="Times New Roman"/>
                <w:kern w:val="24"/>
              </w:rPr>
              <w:t>“</w:t>
            </w:r>
            <w:r w:rsidRPr="00EE2DE7">
              <w:rPr>
                <w:rFonts w:eastAsia="Times New Roman"/>
                <w:i/>
                <w:kern w:val="24"/>
              </w:rPr>
              <w:t>Për shërbimin e provës</w:t>
            </w:r>
            <w:r>
              <w:rPr>
                <w:rFonts w:eastAsia="Times New Roman"/>
                <w:kern w:val="24"/>
              </w:rPr>
              <w:t>”</w:t>
            </w:r>
            <w:r w:rsidRPr="00EE2DE7">
              <w:rPr>
                <w:rFonts w:eastAsia="Times New Roman"/>
                <w:kern w:val="24"/>
              </w:rPr>
              <w:t xml:space="preserve"> dhe dispozitat procedurale penale;</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Lirimi me kusht si një nga alternativat e dënimit me burgim;</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Praktika gjyqësore;</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Marrëdhëniet e shërbimit të provës dhe prokurorisë</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6-7 dhjetor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SHM/ EURALIUS</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Risitë e legjislacionit shqiptar me ndikim mbi statusin, organizimin dhe veprimtarinë e funksionit të gjyqtarit dhe prokurorit.</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Ligji për organet e qeverisjes së sistemit të drejtësisë nr. 115/2016;</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Ligji për statusin e gjyqtarëve dhe prokurorëve në Republikën e Shqipërisë nr. 96/2018;</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Ligji për organizimin e pushtetit gjyqësor në Republikën e Shqipërisë nr. 98/2016.</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11 dhjetor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12 dhjetor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Liria e shprehjes, drejtësia  dhe media.</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Standardet e parashikuara nga KEDNJ-ja dhe jurisprudenca e GJEDNJ-së;</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Reflektimi i tyre në kontekstin shqiptar.</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13 dhjetor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KiE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Liria e shprehjes, drejtësia  dhe media</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Standardet e parashikuara nga KEDNJ-ja dhe jurisprudenca e GJEDNJ-së;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Reflektimi i tyre në kontekstin shqiptar.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13 dhjetor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13-14 dhjetor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IRZ</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Avokatura e Shtetit</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Juridiksioni i GJEDNJ-së.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Praktika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Procesi paraprak i GJEDNJ-së; dorëzimi i aplikimeve në gjykatë; procedura gjyqësore; zbatimi i vendimeve të GJEDNJ-së;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Simulim i një gjyqi në GJEDNJ;</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Jurisprudenca e GJEDNJ-së si burim i të drejtës. Zbatimi i drejtpërdrejtë i KEDNJ-së.  (pjesëmarrës do të jenë gjyqtarë/prokurorë/avokatë shteti).</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172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13-14 dhjetor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KiE</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Trajnim i gjyqtarëve dhe prokurorëve bazuar në materialet e programit/platformës HELP për:</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Nenin 14 të KEDNJ-së. Ndalimi i diskriminimit;</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Diskriminimin e komuniteteve me aftësi të kufizuara;</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Diskriminimin e minoriteteve;</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Diskriminimin e romëve;</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Diskriminimin e komunitetit LGBTI (njëditor).</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18 dhjetor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KiE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Liria e shprehjes, drejtësia  dhe media</w:t>
            </w:r>
            <w:r>
              <w:rPr>
                <w:rFonts w:eastAsia="Calibri"/>
                <w:kern w:val="24"/>
              </w:rPr>
              <w: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Standardet e parashikuara nga KEDNJ-ja dhe jurisprudenca e GJEDNJ-së;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Reflektimi i tyre në kontekstin shqiptar.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19 dhjetor 2017</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r>
              <w:rPr>
                <w:rFonts w:eastAsia="Times New Roman"/>
                <w:kern w:val="24"/>
              </w:rPr>
              <w: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21 dhjetor 2017</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10 janar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r>
              <w:rPr>
                <w:rFonts w:eastAsia="Times New Roman"/>
                <w:kern w:val="24"/>
              </w:rPr>
              <w: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11 janar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r>
              <w:rPr>
                <w:rFonts w:eastAsia="Times New Roman"/>
                <w:kern w:val="24"/>
              </w:rPr>
              <w: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15 janar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r>
              <w:rPr>
                <w:rFonts w:eastAsia="Times New Roman"/>
                <w:kern w:val="24"/>
              </w:rPr>
              <w: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17 janar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 xml:space="preserve">SHM / QNLQ / Programi i Granteve të Vogla të Komisionit për Demokraci të Ambasadës së </w:t>
            </w:r>
            <w:r w:rsidRPr="00EE2DE7">
              <w:rPr>
                <w:kern w:val="24"/>
                <w:u w:val="wave"/>
              </w:rPr>
              <w:lastRenderedPageBreak/>
              <w:t>SHBA-s</w:t>
            </w:r>
            <w:r w:rsidRPr="00EE2DE7">
              <w:rPr>
                <w:rFonts w:eastAsia="MS Mincho"/>
                <w:kern w:val="24"/>
              </w:rPr>
              <w:t>ë</w:t>
            </w: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Times New Roman"/>
                <w:kern w:val="24"/>
              </w:rPr>
              <w:lastRenderedPageBreak/>
              <w:t>Parimet dhe rregullat e sjelljes profesionale gjatë procesit të dhënies së drejtësisë. Respektimi i tyre nga gjyqtarët dhe prokurorët (kandidatët për magjistratë viti II)</w:t>
            </w:r>
            <w:r>
              <w:rPr>
                <w:rFonts w:eastAsia="Times New Roman"/>
                <w:kern w:val="24"/>
              </w:rPr>
              <w: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18 janar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r>
              <w:rPr>
                <w:rFonts w:eastAsia="Times New Roman"/>
                <w:kern w:val="24"/>
              </w:rPr>
              <w: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18-19 janar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EURALIUS</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Trajnim për ndërgjegjësimin e mentorëve të mundshëm për vitin e tretë të Formimit Fillestar.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22-23 janar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Sida</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Drejtësia për të miturit dhe Kodi i Drejtësisë Penale për të miturit. Komunikimi i rastet të drejtësisë për të mitur dhe hartimi i vendimeve / aktgjykimeve në rastet e drejtësisë për të mitur.</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Trajnim i gjyqtarëve të RRGJ-s</w:t>
            </w:r>
            <w:r w:rsidRPr="00EE2DE7">
              <w:rPr>
                <w:rFonts w:eastAsia="MS Mincho"/>
                <w:kern w:val="24"/>
              </w:rPr>
              <w:t>ë</w:t>
            </w:r>
            <w:r w:rsidRPr="00EE2DE7">
              <w:rPr>
                <w:rFonts w:eastAsia="Times New Roman"/>
                <w:kern w:val="24"/>
              </w:rPr>
              <w:t xml:space="preserve"> Tiranë dhe Durrës.</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925"/>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24 janar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 / QNLQ / Programi i Granteve të Vogla të Komisionit për Demokraci të Ambasadës së SHBA-s</w:t>
            </w:r>
            <w:r w:rsidRPr="00EE2DE7">
              <w:rPr>
                <w:rFonts w:eastAsia="MS Mincho"/>
                <w:kern w:val="24"/>
              </w:rPr>
              <w:t>ë</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Parimet dhe rregullat e sjelljes profesionale gjatë procesit të dhënies së drejtësisë. Respektimi i tyre nga gjyqtarët dhe prokurorët (kandidatët për magjistratë viti II)</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24-25 janar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SHM/PAMECA V</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Raporti prokurori-gjykatë për mënyrën e përfundimit të hetimeve paraprake.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Roli i prokurorit në drejtimin dhe kontrollin e hetimeve paraprake;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K</w:t>
            </w:r>
            <w:r w:rsidRPr="00EE2DE7">
              <w:rPr>
                <w:rFonts w:eastAsia="MS Mincho"/>
                <w:kern w:val="24"/>
              </w:rPr>
              <w:t>ë</w:t>
            </w:r>
            <w:r w:rsidRPr="00EE2DE7">
              <w:rPr>
                <w:kern w:val="24"/>
                <w:u w:val="wave"/>
              </w:rPr>
              <w:t>rkesa p</w:t>
            </w:r>
            <w:r w:rsidRPr="00EE2DE7">
              <w:rPr>
                <w:rFonts w:eastAsia="MS Mincho"/>
                <w:kern w:val="24"/>
              </w:rPr>
              <w:t>ë</w:t>
            </w:r>
            <w:r w:rsidRPr="00EE2DE7">
              <w:rPr>
                <w:kern w:val="24"/>
                <w:u w:val="wave"/>
              </w:rPr>
              <w:t>r gjykim e prokurorit dhe seanca paraprake. Pavlefshm</w:t>
            </w:r>
            <w:r w:rsidRPr="00EE2DE7">
              <w:rPr>
                <w:rFonts w:eastAsia="MS Mincho"/>
                <w:kern w:val="24"/>
              </w:rPr>
              <w:t>ë</w:t>
            </w:r>
            <w:r w:rsidRPr="00EE2DE7">
              <w:rPr>
                <w:kern w:val="24"/>
                <w:u w:val="wave"/>
              </w:rPr>
              <w:t>rit</w:t>
            </w:r>
            <w:r w:rsidRPr="00EE2DE7">
              <w:rPr>
                <w:rFonts w:eastAsia="MS Mincho"/>
                <w:kern w:val="24"/>
              </w:rPr>
              <w:t>ë</w:t>
            </w:r>
            <w:r w:rsidRPr="00EE2DE7">
              <w:rPr>
                <w:kern w:val="24"/>
                <w:u w:val="wave"/>
              </w:rPr>
              <w:t xml:space="preserve"> e akteve dhe shqyrtimi i tyre gjat</w:t>
            </w:r>
            <w:r w:rsidRPr="00EE2DE7">
              <w:rPr>
                <w:rFonts w:eastAsia="MS Mincho"/>
                <w:kern w:val="24"/>
              </w:rPr>
              <w:t>ë</w:t>
            </w:r>
            <w:r w:rsidRPr="00EE2DE7">
              <w:rPr>
                <w:kern w:val="24"/>
                <w:u w:val="wave"/>
              </w:rPr>
              <w:t xml:space="preserve"> k</w:t>
            </w:r>
            <w:r w:rsidRPr="00EE2DE7">
              <w:rPr>
                <w:rFonts w:eastAsia="MS Mincho"/>
                <w:kern w:val="24"/>
              </w:rPr>
              <w:t>ë</w:t>
            </w:r>
            <w:r w:rsidRPr="00EE2DE7">
              <w:rPr>
                <w:kern w:val="24"/>
                <w:u w:val="wave"/>
              </w:rPr>
              <w:t>saj seance.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Kontrolli gjyqësor gjatë fazës së hetimeve paraprake.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Dita e dytë</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Kontrolli juridiksional mbi ushtrimin e ndjekjes penale. Karakteristikat thelb</w:t>
            </w:r>
            <w:r w:rsidRPr="00EE2DE7">
              <w:rPr>
                <w:rFonts w:eastAsia="MS Mincho"/>
                <w:kern w:val="24"/>
              </w:rPr>
              <w:t>ë</w:t>
            </w:r>
            <w:r w:rsidRPr="00EE2DE7">
              <w:rPr>
                <w:kern w:val="24"/>
                <w:u w:val="wave"/>
              </w:rPr>
              <w:t>sore t</w:t>
            </w:r>
            <w:r w:rsidRPr="00EE2DE7">
              <w:rPr>
                <w:rFonts w:eastAsia="MS Mincho"/>
                <w:kern w:val="24"/>
              </w:rPr>
              <w:t>ë</w:t>
            </w:r>
            <w:r w:rsidRPr="00EE2DE7">
              <w:rPr>
                <w:kern w:val="24"/>
                <w:u w:val="wave"/>
              </w:rPr>
              <w:t xml:space="preserve"> saj - detyrueshm</w:t>
            </w:r>
            <w:r w:rsidRPr="00EE2DE7">
              <w:rPr>
                <w:rFonts w:eastAsia="MS Mincho"/>
                <w:kern w:val="24"/>
              </w:rPr>
              <w:t>ë</w:t>
            </w:r>
            <w:r w:rsidRPr="00EE2DE7">
              <w:rPr>
                <w:kern w:val="24"/>
                <w:u w:val="wave"/>
              </w:rPr>
              <w:t>ria dhe pakthyeshm</w:t>
            </w:r>
            <w:r w:rsidRPr="00EE2DE7">
              <w:rPr>
                <w:rFonts w:eastAsia="MS Mincho"/>
                <w:kern w:val="24"/>
              </w:rPr>
              <w:t>ë</w:t>
            </w:r>
            <w:r w:rsidRPr="00EE2DE7">
              <w:rPr>
                <w:kern w:val="24"/>
                <w:u w:val="wave"/>
              </w:rPr>
              <w:t>ria. Kontrolli mbi mosushtrimin e ndjekjes penale nga prokurori. Raporti i prokurorit me policinë gjyqësore, veprimet me iniciativë dhe ato të deleguara.</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25-26 janar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OSBE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Menaxhimi aktiv i çështjeve gjyqësore (gjyqtarët dhe kancelari i Gjykatës së Rrethit Gjyqësor Gjirokastër.)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1-2 shkurt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KiE</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Vepra penale e shpifjes.</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Gjyq imitues për prokurorë dhe gjyqtarë. Rastet e shpifjes.</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 xml:space="preserve">Jurisprudenca e GJEDNJ-së lidhur me zbatimin e nenit 8 të KEDNJ-së mbi të drejtën për jetë private dhe familjare, në </w:t>
            </w:r>
            <w:r w:rsidRPr="00EE2DE7">
              <w:rPr>
                <w:rFonts w:eastAsia="Times New Roman"/>
                <w:kern w:val="24"/>
              </w:rPr>
              <w:lastRenderedPageBreak/>
              <w:t>çështjet mbi reputacionin dhe abuzimin me të drejtën e informimit;</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Çështje të praktikës gjyqësore shqiptare lidhur me veprën penale të shpifjes.</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5-6 shkurt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Avokatura e Shtetit / SHM/KiE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 drejta e pronës në këndvështrimin e jurisprudencës së GJEDNJ-së dhe problematika e legjislacionit dhe praktikës vendase.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Risitë e ligjit nr. 133/2015, datë 5.12.2015, “</w:t>
            </w:r>
            <w:r w:rsidRPr="00EE2DE7">
              <w:rPr>
                <w:i/>
                <w:kern w:val="24"/>
                <w:u w:val="wave"/>
              </w:rPr>
              <w:t>Për trajtimin e pronës dhe përfundimin e procesit të kompensimit të pronave</w:t>
            </w:r>
            <w:r w:rsidRPr="00EE2DE7">
              <w:rPr>
                <w:kern w:val="24"/>
                <w:u w:val="wave"/>
              </w:rPr>
              <w:t>”. Problematikat e hasura në praktikën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lidhur me zbatimin e tij.  Llojet e vendimeve që merr ATP-ja dhe ndarja e kompetencave mes gjykatave civile dhe administrative;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që lidhen me vendimet e dhëna nga ish-KKP-ja dhe ish-AKKP-ja;</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Parime të përgjithshme të njohjes dhe shpërblimit të drejtë të vuajtjeve të shkaktuara nga marrja dhe mbajtja e padrejtë e pronës;</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Metodologjia e vlerësimit të kompensimit.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12 shkurt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Observatori për të drejtat e fëmijëve</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Martesat nën moshë dhe roli i gjykatës në lejimin e</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këtyre martesave për shkaqe me rëndësi (pjesëmarrës gjyqtarë të GJRRGJ-s</w:t>
            </w:r>
            <w:r w:rsidRPr="00EE2DE7">
              <w:rPr>
                <w:rFonts w:eastAsia="MS Mincho"/>
                <w:kern w:val="24"/>
              </w:rPr>
              <w:t>ë</w:t>
            </w:r>
            <w:r w:rsidRPr="00EE2DE7">
              <w:rPr>
                <w:rFonts w:eastAsia="Times New Roman"/>
                <w:kern w:val="24"/>
              </w:rPr>
              <w:t xml:space="preserve"> Kukës)</w:t>
            </w:r>
            <w:r>
              <w:rPr>
                <w:rFonts w:eastAsia="Times New Roman"/>
                <w:kern w:val="24"/>
              </w:rPr>
              <w: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12-13  shkurt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ISLP</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Teknikat e posaçme të hetimit sipas standardeve ndërkombëtare dhe kuadrit ligjor shqiptar. Trajtesë teorike dhe praktike.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Metodat speciale të hetimit;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Veprimet simuluese;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punonjësit të infiltruar të policisë dhe Jurisprudenca e GJEDNJ-së;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Bashkëpunëtori i drejtësisë dhe dëshmitari me identitet të fshehur.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19 shkurt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Observatori për të drejtat e fëmijëve</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Times New Roman"/>
                <w:kern w:val="24"/>
              </w:rPr>
              <w:t>Martesat nën moshë dhe roli i gjykatës në lejimin e këtyre martesave për shkaqe me rëndësi (pjesëmarrës gjyqtarë të GJRRGJ-s</w:t>
            </w:r>
            <w:r w:rsidRPr="00EE2DE7">
              <w:rPr>
                <w:rFonts w:eastAsia="MS Mincho"/>
                <w:kern w:val="24"/>
              </w:rPr>
              <w:t>ë</w:t>
            </w:r>
            <w:r w:rsidRPr="00EE2DE7">
              <w:rPr>
                <w:rFonts w:eastAsia="Times New Roman"/>
                <w:kern w:val="24"/>
              </w:rPr>
              <w:t xml:space="preserve"> Shkodër dhe Apelit Shkodër)</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21 shkurt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 / Observatori për të drejtat e fëmijëve</w:t>
            </w: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Times New Roman"/>
                <w:kern w:val="24"/>
              </w:rPr>
              <w:t>Martesat nën moshë dhe roli i gjykatës në lejimin e këtyre martesave për shkaqe me rëndësi (pjesëmarrës gjyqtarë të GJRRGJ-s</w:t>
            </w:r>
            <w:r w:rsidRPr="00EE2DE7">
              <w:rPr>
                <w:rFonts w:eastAsia="MS Mincho"/>
                <w:kern w:val="24"/>
              </w:rPr>
              <w:t>ë</w:t>
            </w:r>
            <w:r w:rsidRPr="00EE2DE7">
              <w:rPr>
                <w:rFonts w:eastAsia="Times New Roman"/>
                <w:kern w:val="24"/>
              </w:rPr>
              <w:t xml:space="preserve"> Fier e Kavajë)</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22-23 shkurt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SHM / KiE</w:t>
            </w:r>
          </w:p>
        </w:tc>
        <w:tc>
          <w:tcPr>
            <w:tcW w:w="6300" w:type="dxa"/>
          </w:tcPr>
          <w:p w:rsidR="008D2205" w:rsidRPr="00EE2DE7" w:rsidRDefault="008D2205" w:rsidP="002737A9">
            <w:pPr>
              <w:contextualSpacing/>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Times New Roman"/>
                <w:kern w:val="24"/>
              </w:rPr>
              <w:t>Trajnim i kancelarëve mbi statistikat gjyqësore dhe menaxhimin e kohës gjyqësore.</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26-27 shkurt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SHM/KiE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Gjykimi në mungesë.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Gjykimi në mungesë sipas nenit 6 të Konventës Europiane për të Drejtat e Njeriut;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 xml:space="preserve">Jurisprudenca e Gjykatës Europiane të të Drejtave të </w:t>
            </w:r>
            <w:r w:rsidRPr="00EE2DE7">
              <w:rPr>
                <w:rFonts w:eastAsia="Calibri"/>
                <w:kern w:val="24"/>
              </w:rPr>
              <w:lastRenderedPageBreak/>
              <w:t>Njeriut me fokus kryesor në praninë e të pandehurit në gjykim;</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Legjislacioni shqiptar dhe probleme të praktikës gjyqësore shqiptare.</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27 shkurt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Observatori për të drejtat  fëmijëve</w:t>
            </w:r>
          </w:p>
        </w:tc>
        <w:tc>
          <w:tcPr>
            <w:tcW w:w="6300" w:type="dxa"/>
          </w:tcPr>
          <w:p w:rsidR="008D2205" w:rsidRPr="007B1E3D"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Konferencë: Martesat nën moshë dhe roli i gjykatës në lejimin e</w:t>
            </w:r>
            <w:r>
              <w:rPr>
                <w:rFonts w:eastAsia="Times New Roman"/>
                <w:kern w:val="24"/>
              </w:rPr>
              <w:t xml:space="preserve"> </w:t>
            </w:r>
            <w:r w:rsidRPr="00EE2DE7">
              <w:rPr>
                <w:rFonts w:eastAsia="Times New Roman"/>
                <w:kern w:val="24"/>
              </w:rPr>
              <w:t>këtyre martesave për shkaqe me rëndësi.</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28 shkurt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KiE</w:t>
            </w: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kern w:val="24"/>
                <w:lang w:bidi="en-US"/>
              </w:rPr>
              <w:t>Parimet në dhënien e kompensimit në rastet e cenimit të lirisë së shprehjes.</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9 mars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SHM/OPDAT</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Të drejtat e viktimës në dhe gjatë procesit penal.</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Standardet e BE-së mbi të drejtat e viktimës dhe të të pandehurit në procesin penal;</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në seancën paraprake;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gjatë gjykimit;</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Riviktimizimi;</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Mjetet procedurale për mosmarrjen e dëshmisë së përsëritur gjatë proceseve gjyqësore.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Times New Roman"/>
                <w:kern w:val="24"/>
              </w:rPr>
              <w:t>•</w:t>
            </w:r>
            <w:r w:rsidRPr="00EE2DE7">
              <w:rPr>
                <w:rFonts w:eastAsia="Times New Roman"/>
                <w:kern w:val="24"/>
              </w:rPr>
              <w:tab/>
              <w:t>Paragjykimet: indikator në komunikimin dhe trajtimin e viktimave. Llojet e paragjykimeve dhe ndikimi i tyre në komunikimin verbal dhe joverbal. Si janë krijuar qëndrimet, vlerat, besimet? Si ndërhyjnë këto në komunikim me njerëzit që punojmë? Si reflektohen në qëndrimet që mbahen me rastet që punojmë? Si ndikojnë në cilësinë e punës si gjyqtar apo prokuror?</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23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15-16 mars 2018</w:t>
            </w: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kern w:val="24"/>
                <w:u w:val="wave"/>
              </w:rPr>
              <w:t>SHM / OSBE</w:t>
            </w:r>
          </w:p>
          <w:p w:rsidR="008D2205" w:rsidRPr="00EE2DE7" w:rsidRDefault="008D2205" w:rsidP="002737A9">
            <w:pPr>
              <w:cnfStyle w:val="000000010000" w:firstRow="0" w:lastRow="0" w:firstColumn="0" w:lastColumn="0" w:oddVBand="0" w:evenVBand="0" w:oddHBand="0" w:evenHBand="1" w:firstRowFirstColumn="0" w:firstRowLastColumn="0" w:lastRowFirstColumn="0" w:lastRowLastColumn="0"/>
              <w:rPr>
                <w:rFonts w:eastAsia="Calibri"/>
                <w:kern w:val="24"/>
              </w:rPr>
            </w:pPr>
          </w:p>
          <w:p w:rsidR="008D2205" w:rsidRPr="00EE2DE7" w:rsidRDefault="008D2205" w:rsidP="002737A9">
            <w:pPr>
              <w:cnfStyle w:val="000000010000" w:firstRow="0" w:lastRow="0" w:firstColumn="0" w:lastColumn="0" w:oddVBand="0" w:evenVBand="0" w:oddHBand="0" w:evenHBand="1" w:firstRowFirstColumn="0" w:firstRowLastColumn="0" w:lastRowFirstColumn="0" w:lastRowLastColumn="0"/>
              <w:rPr>
                <w:rFonts w:eastAsia="Calibri"/>
                <w:kern w:val="24"/>
              </w:rPr>
            </w:pP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Trajtesa ligjore dhe praktike me efekt në aftësimin profesional në fushën e tatimeve.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Dita e parë: Veprat penale në fushën e tatimeve. Bashkëpunimi i autoriteteve tatimore me sistemin e drejtësisë.</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kern w:val="24"/>
                <w:u w:val="wave"/>
              </w:rPr>
              <w:t>Dita e dytë: Procedurat e ankimimit të akteve administrative tatimore: a) shqyrtimi i ankimeve për dënimet administrative për kundravajtjet administrative; dhe b) ankimi kundër vendimeve të Drejtorisë së Apelimit Tatimor.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15-16 mars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USAID</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rFonts w:eastAsia="Times New Roman"/>
                <w:kern w:val="24"/>
              </w:rPr>
              <w:t>Lidership i ekipit drejtues</w:t>
            </w:r>
            <w:r>
              <w:rPr>
                <w:rFonts w:eastAsia="Times New Roman"/>
                <w:kern w:val="24"/>
              </w:rPr>
              <w:t xml:space="preserve">. </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19-20 mars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SHM/KiE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Ekzekutimi i vendimeve gjyqësore të formës së prerë.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Trajtimi integral i dispozitave të Kodit të Procedurës Civile që rregullojnë ekzekutimin e detyrueshëm;</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Standardi i GJEDNJ-së për ekzekutimin e vendimeve dhe kohëzgjatjen e gjykimit. Përshpejtimi në rastet e vonesave dhe ngritja e një mekanizmi efektiv; Ekzekutimi i vendimeve të Gjykatës së Strasburgut dhe Luksemburgut në planin e përgjithshëm. Detyrat e vëna për Shqipërinë në veçanti.</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Kontrolli gjyqësor mbi ekzekutimet;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Masat e sigurimit civil të padisë. Praktika gjyqësore dhe ajo unifikuese në lidhje me masat e sigurimit të padisë. Ankimi në rastin e rrëzimit të masës së sigurimit;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lastRenderedPageBreak/>
              <w:t>•</w:t>
            </w:r>
            <w:r w:rsidRPr="00EE2DE7">
              <w:rPr>
                <w:rFonts w:eastAsia="Calibri"/>
                <w:kern w:val="24"/>
              </w:rPr>
              <w:tab/>
              <w:t>Aplikimi për rastet e procedurave përmbarimore për ekzekutimin e kontratave të kredive bankare;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Calibri"/>
                <w:kern w:val="24"/>
              </w:rPr>
              <w:t>•</w:t>
            </w:r>
            <w:r w:rsidRPr="00EE2DE7">
              <w:rPr>
                <w:rFonts w:eastAsia="Calibri"/>
                <w:kern w:val="24"/>
              </w:rPr>
              <w:tab/>
              <w:t>Veçimi i pjesës së debitorit bashkëpronar në fazën e ekzekutimit të detyrimeve dhe problemet e lindura në praktikën gjyqësore.</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20-21 mars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USAID</w:t>
            </w:r>
          </w:p>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Calibri"/>
                <w:kern w:val="24"/>
              </w:rPr>
              <w:t>Administrimi efikas i proceseve gjyqësore</w:t>
            </w:r>
            <w:r>
              <w:rPr>
                <w:rFonts w:eastAsia="Calibri"/>
                <w:kern w:val="24"/>
              </w:rPr>
              <w:t xml:space="preserve">. </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23 mars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SHM/OPDAT</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Të drejtat e viktimës në dhe gjatë procesit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Standardet e BE-së mbi të drejtat e viktimës dhe të të pandehurit në procesin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në seancën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gjatë gjykimit;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Riviktimizimi;</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Mjetet procedurale për mosmarrjen e dëshmisë së përsëritur gjatë proceseve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Paragjykimet: indikator në komunikimin dhe trajtimin e viktimave. Llojet e paragjykimeve dhe ndikimi i tyre në komunikimin verbal dhe joverbal. Si janë krijuar qëndrimet, vlerat, besimet? Si ndërhyjnë këto në komunikim me njerëzit që punojmë? Si reflektohen në qëndrimet që mbahen me rastet që punojmë? Si ndikojnë në cilësinë e punës si gjyqtar apo prokuror?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26-27 mars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IRZ</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Analiza e provave dhe teoritë e të provuarit.</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Hetimi i fakteve dhe natyra e provave në kontekstin ligjor;</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 xml:space="preserve">Parimet e të provuarit dhe teoria </w:t>
            </w:r>
            <w:r w:rsidRPr="007B1E3D">
              <w:rPr>
                <w:rFonts w:eastAsia="Times New Roman"/>
                <w:i/>
                <w:kern w:val="24"/>
              </w:rPr>
              <w:t>Wigmore</w:t>
            </w:r>
            <w:r w:rsidRPr="00EE2DE7">
              <w:rPr>
                <w:rFonts w:eastAsia="Times New Roman"/>
                <w:kern w:val="24"/>
              </w:rPr>
              <w:t>;</w:t>
            </w:r>
          </w:p>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Metodat e analizës dhe logjika;</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Probabiliteti, pesha dhe forca e provës.</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28 mars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PAMECA/ShM</w:t>
            </w: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Parandalimi dhe goditja e krimit të organizuar, trafikimit, korrupsionit dhe veprave të tjera penale.</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Konventat ndërkombëtare lidhur me pastrimin e produkteve të veprës penale. Vështrim i shkurtër mbi Konventën  e Varshavës, Palermos  e Vjenës;</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Legjislacioni procedural penal mbi sekuestrimin dhe konfiskimin e pasurive;</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Zbatimi i ligjit nr. 10192, datë 03.12.2009, “</w:t>
            </w:r>
            <w:r w:rsidRPr="008B3E33">
              <w:rPr>
                <w:rFonts w:eastAsia="Times New Roman"/>
                <w:i/>
                <w:kern w:val="24"/>
              </w:rPr>
              <w:t>Për parandalimin dhe goditjen e krimit të organizuar, trafikimit, korrupsionit dhe krimeve të tjera nëpërmjet masave parandaluese kundër pasurisë</w:t>
            </w:r>
            <w:r w:rsidRPr="00EE2DE7">
              <w:rPr>
                <w:rFonts w:eastAsia="Times New Roman"/>
                <w:kern w:val="24"/>
              </w:rPr>
              <w:t>” dhe risitë e tij;</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Prezumimi i regjistrimit të rremë të pasurive dhe veprimtarive ekonomike të personave të përfshirë në veprat penale përkatëse;</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Kompetencat e gjykatës për  shqyrtimin e veprës penale të pastrimit të parave;</w:t>
            </w:r>
          </w:p>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Dobësimi i financave të rrjeteve kriminale të krimit të organizuar dhe terrorizmit nëpërmjet sh</w:t>
            </w:r>
            <w:r>
              <w:rPr>
                <w:rFonts w:eastAsia="Times New Roman"/>
                <w:kern w:val="24"/>
              </w:rPr>
              <w:t>ënje</w:t>
            </w:r>
            <w:r w:rsidRPr="00EE2DE7">
              <w:rPr>
                <w:rFonts w:eastAsia="Times New Roman"/>
                <w:kern w:val="24"/>
              </w:rPr>
              <w:t xml:space="preserve">strimit, sekuestrimit dhe konfiskimit të pasurive dhe të ardhurave të </w:t>
            </w:r>
            <w:r w:rsidRPr="00EE2DE7">
              <w:rPr>
                <w:rFonts w:eastAsia="Times New Roman"/>
                <w:kern w:val="24"/>
              </w:rPr>
              <w:lastRenderedPageBreak/>
              <w:t>përfituara nga aktiviteti kriminal</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29-30 mars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OSBE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Menaxhimi aktiv i çështjeve gjyqësore (gjyqtarët dhe kancelari i Gjykatës së Rrethit Gjyqësor Lushnjë).</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30 mars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SHM/OPDAT</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Të drejtat e viktimës në dhe gjatë procesit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Standardet e BE-së mbi të drejtat e viktimës dhe të të pandehurit në procesin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në seancën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gjatë gjykimit;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Riviktimizimi;</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Mjetet procedurale për mosmarrjen e dëshmisë së përsëritur gjatë proceseve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Paragjykimet: indikator në komunikimin dhe trajtimin e viktimave. Llojet e paragjykimeve dhe ndikimi i tyre në komunikimin verbal dhe joverbal. Si janë krijuar qëndrimet, vlerat, besimet? Si ndërhyjnë këto në komunikim me njerëzit që punojmë? Si reflektohen në qëndrimet që mbahen me rastet që punojmë? Si ndikojnë në cilësinë e punës si gjyqtar apo prokuror?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30 mars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kern w:val="24"/>
                <w:u w:val="wave"/>
              </w:rPr>
              <w:t>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Liria e shprehjes në fokusin e miradministrimit të drejtësisë dhe kufijtë e ushtrimit të saj për profesionistët e drejtësisë (gjyqtarët, prokurorët, avokatët). Ankimi ndaj vendimeve të autoriteteve rregullatore të çështjeve që lidhen me të.</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6 prill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SHM/OPDAT</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Të drejtat e viktimës në dhe gjatë procesit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Standardet e BE-së mbi të drejtat e viktimës dhe të të pandehurit në procesin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në seancën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gjatë gjykimit;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Riviktimizimi;</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Mjetet procedurale për mosmarrjen e dëshmisë së përsëritur gjatë proceseve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Paragjykimet: indikator në komunikimin dhe trajtimin e viktimave. Llojet e paragjykimeve dhe ndikimi i tyre në komunikimin verbal dhe joverbal. Si janë krijuar qëndrimet, vlerat, besimet? Si ndërhyjnë këto në komunikim me njerëzit që punojmë? Si reflektohen në qëndrimet që mbahen me rastet që punojmë? Si ndikojnë në cilësinë e punës si gjyqtar apo prokuror?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4220"/>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13 prill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SHM/OPDAT</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Të drejtat e viktimës në dhe gjatë procesit penal.</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Standardet e BE-së mbi të drejtat e viktimës dhe të të pandehurit në procesin penal;</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në seancën paraprake;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gjatë gjykimit;</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Riviktimizimi;</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Mjetet procedurale për mosmarrjen e dëshmisë së përsëritur gjatë proceseve gjyqësore.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Paragjykimet: indikator në komunikimin dhe trajtimin e viktimave. Llojet e paragjykimeve dhe ndikimi i tyre në komunikimin verbal dhe joverbal. Si janë krijuar qëndrimet, vlerat, besimet? Si ndërhyjnë këto në komunikim me njerëzit që punojmë? Si reflektohen në qëndrimet që mbahen me rastet që punojmë? Si ndikojnë në cilësinë e punës si gjyqtar apo prokuror?</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20 prill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SHM/OPDAT</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Të drejtat e viktimës në dhe gjatë procesit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Standardet e BE-së mbi të drejtat e viktimës dhe të të pandehurit në procesin penal;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në seancën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Roli i viktimës gjatë gjykimit;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Riviktimizimi;</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Mjetet procedurale për mosmarrjen e dëshmisë së përsëritur gjatë proceseve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w:t>
            </w:r>
            <w:r w:rsidRPr="00EE2DE7">
              <w:rPr>
                <w:rFonts w:eastAsia="Times New Roman"/>
                <w:kern w:val="24"/>
              </w:rPr>
              <w:tab/>
              <w:t>Paragjykimet: indikator në komunikimin dhe trajtimin e viktimave. Llojet e paragjykimeve dhe ndikimi i tyre në komunikimin verbal dhe joverbal. Si janë krijuar qëndrimet, vlerat, besimet? Si ndërhyjnë këto në komunikim me njerëzit që punojmë? Si reflektohen në qëndrimet që mbahen me rastet që punojmë? Si ndikojnë në cilësinë e punës si gjyqtar apo prokuror?</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18 maj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w:t>
            </w:r>
          </w:p>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kern w:val="24"/>
                <w:u w:val="wave"/>
              </w:rPr>
              <w:t>OSBE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Roli i Avokatit të Shtetit në procesin gjyqësor.</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Calibri"/>
                <w:kern w:val="24"/>
              </w:rPr>
              <w:t>•</w:t>
            </w:r>
            <w:r w:rsidRPr="00EE2DE7">
              <w:rPr>
                <w:rFonts w:eastAsia="Calibri"/>
                <w:kern w:val="24"/>
              </w:rPr>
              <w:tab/>
              <w:t>Ndarja e kompetencave midis Avokaturës së Shtetit dhe institucioneve publike.</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18-19 maj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KiE / ShM</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Calibri"/>
                <w:kern w:val="24"/>
              </w:rPr>
              <w:t>Trajnimi i Menaxhimit të Kohës së Gjyqësorit për Gjyqtarët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21-22 maj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rPr>
              <w:t>OSBE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Menaxhimi aktiv i çështjeve gjyqësore (gjyqtarët dhe kancelari i Gjykatës së Rrethit Gjyqësor Sarandë).</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24-25 maj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Avokatura e Shtetit / SHM/KiE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 drejta e pronës në këndvështrimin e jurisprudencës së GJEDNJ-së dhe problematika e legjislacionit dhe praktikës vendase.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Risitë e ligjit nr. 133/2015, datë 5.12.2015, “</w:t>
            </w:r>
            <w:r w:rsidRPr="00EE2DE7">
              <w:rPr>
                <w:i/>
                <w:kern w:val="24"/>
                <w:u w:val="wave"/>
              </w:rPr>
              <w:t>Për trajtimin e pronës dhe përfundimin e procesit të kompensimit të pronave</w:t>
            </w:r>
            <w:r w:rsidRPr="00EE2DE7">
              <w:rPr>
                <w:kern w:val="24"/>
                <w:u w:val="wave"/>
              </w:rPr>
              <w:t>”. Problematikat e hasura në praktikën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lidhur me zbatimin e tij.  Llojet e vendimeve që merr ATP-ja dhe ndarja e kompetencave mes gjykatave civile dhe administrative;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lastRenderedPageBreak/>
              <w:t>•</w:t>
            </w:r>
            <w:r w:rsidRPr="00EE2DE7">
              <w:rPr>
                <w:kern w:val="24"/>
                <w:u w:val="wave"/>
              </w:rPr>
              <w:tab/>
              <w:t>Shqyrtimi i mosmarrëveshjeve që lidhen me vendimet e dhëna nga ish-KKP-ja dhe ish-AKKP-ja;</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Parime të përgjithshme të njohjes dhe shpërblimit të drejtë të vuajtjeve të shkaktuara nga marrja dhe mbajtja e padrejtë e pronës;</w:t>
            </w:r>
            <w:r>
              <w:rPr>
                <w:kern w:val="24"/>
                <w:u w:val="wave"/>
              </w:rPr>
              <w:t xml:space="preserve"> </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kern w:val="24"/>
                <w:u w:val="wave"/>
              </w:rPr>
              <w:t>•</w:t>
            </w:r>
            <w:r w:rsidRPr="00EE2DE7">
              <w:rPr>
                <w:kern w:val="24"/>
                <w:u w:val="wave"/>
              </w:rPr>
              <w:tab/>
              <w:t>Metodologjia e vlerësimit të kompensimit.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30-31 maj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Projekti i Këshillit të E</w:t>
            </w:r>
            <w:r>
              <w:rPr>
                <w:kern w:val="24"/>
                <w:u w:val="wave"/>
              </w:rPr>
              <w:t>u</w:t>
            </w:r>
            <w:r w:rsidRPr="00EE2DE7">
              <w:rPr>
                <w:kern w:val="24"/>
                <w:u w:val="wave"/>
              </w:rPr>
              <w:t>ropës për Krimin Kibernetik</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Krimi kibernetik.</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Evidentimi i krimit kibernetik;</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Procedimi Penal në rastet e krimit kibernetik: dëshmitë elektronike;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Calibri"/>
                <w:kern w:val="24"/>
              </w:rPr>
            </w:pPr>
            <w:r w:rsidRPr="00EE2DE7">
              <w:rPr>
                <w:rFonts w:eastAsia="Calibri"/>
                <w:kern w:val="24"/>
              </w:rPr>
              <w:t>•</w:t>
            </w:r>
            <w:r w:rsidRPr="00EE2DE7">
              <w:rPr>
                <w:rFonts w:eastAsia="Calibri"/>
                <w:kern w:val="24"/>
              </w:rPr>
              <w:tab/>
              <w:t>Të ardhurat nga krimi online;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rFonts w:eastAsia="Calibri"/>
                <w:kern w:val="24"/>
              </w:rPr>
              <w:t>•</w:t>
            </w:r>
            <w:r w:rsidRPr="00EE2DE7">
              <w:rPr>
                <w:rFonts w:eastAsia="Calibri"/>
                <w:kern w:val="24"/>
              </w:rPr>
              <w:tab/>
              <w:t>Përdorimi i internetit për qëllime terroriste.</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rPr>
              <w:t>31 maj – 1 qershor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Avokatura e Shtetit / SHM/KiE</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E drejta e pronës në këndvështrimin e jurisprudencës së GJEDNJ-së dhe problematika e legjislacionit dhe praktikës vendase.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Risitë e ligjit nr. 133/2015, datë 5.12.2015, “</w:t>
            </w:r>
            <w:r w:rsidRPr="00EE2DE7">
              <w:rPr>
                <w:i/>
                <w:kern w:val="24"/>
                <w:u w:val="wave"/>
              </w:rPr>
              <w:t>Për trajtimin e pronës dhe përfundimin e procesit të kompensimit të pronave</w:t>
            </w:r>
            <w:r w:rsidRPr="00EE2DE7">
              <w:rPr>
                <w:kern w:val="24"/>
                <w:u w:val="wave"/>
              </w:rPr>
              <w:t>”. Problematikat e hasura në praktikën gjyqësore;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lidhur me zbatimin e tij.  Llojet e vendimeve që merr ATP-ja dhe ndarja e kompetencave mes gjykatave civile dhe administrative;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që lidhen me vendimet e dhëna nga ish-KKP-ja dhe ish-AKKP-ja;</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Parime të përgjithshme të njohjes dhe shpërblimit të drejtë të vuajtjeve të shkaktuara nga marrja dhe mbajtja e padrejtë e pronës;</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w:t>
            </w:r>
            <w:r w:rsidRPr="00EE2DE7">
              <w:rPr>
                <w:kern w:val="24"/>
                <w:u w:val="wave"/>
              </w:rPr>
              <w:tab/>
              <w:t>Metodologjia e vlerësimit të kompensimit.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tabs>
                <w:tab w:val="left" w:pos="735"/>
              </w:tabs>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rPr>
              <w:t>7-8 qershor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Avokatura e Shtetit / SHM/KiE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E drejta e pronës në këndvështrimin e jurisprudencës së GJEDNJ-së dhe problematika e legjislacionit dhe praktikës vendase.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Risitë e ligjit nr. 133/2015, datë 05.12.2015 “Për trajtimin e pronës dhe përfundimin e procesit të kompensimit të pronave”. Problematikat e hasura në praktikën gjyqësore;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lidhur me zbatimin e tij.  Llojet e vendimeve që merr ATP-ja dhe ndarja e kompetencave mes gjykatave civile dhe administrative;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që lidhen me vendimet e dhëna nga ish-KKP-ja dhe ish-AKKP-ja;</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Parime të përgjithshme të njohjes dhe shpërblimit të drejtë të vuajtjeve të shkaktuara nga marrja dhe mbajtja e padrejtë e pronës;</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kern w:val="24"/>
                <w:u w:val="wave"/>
              </w:rPr>
              <w:t>•</w:t>
            </w:r>
            <w:r w:rsidRPr="00EE2DE7">
              <w:rPr>
                <w:kern w:val="24"/>
                <w:u w:val="wave"/>
              </w:rPr>
              <w:tab/>
              <w:t>Metodologjia e vlerësimit të kompensimit.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12-13 qershor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SIDA</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b/>
                <w:i/>
                <w:kern w:val="24"/>
                <w:u w:val="single"/>
              </w:rPr>
            </w:pPr>
            <w:r w:rsidRPr="00EE2DE7">
              <w:rPr>
                <w:kern w:val="24"/>
                <w:u w:val="wave"/>
              </w:rPr>
              <w:t>Zbatimi i masës dhe shmangies dhe dënimet për të miturit në përputhje me Kodin e Drejtësisë Penale për të Miturit</w:t>
            </w:r>
            <w:r>
              <w:rPr>
                <w:kern w:val="24"/>
                <w:u w:val="wave"/>
              </w:rPr>
              <w:t xml:space="preserve">. </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tabs>
                <w:tab w:val="left" w:pos="750"/>
              </w:tabs>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rPr>
              <w:t xml:space="preserve">12-13 qershor </w:t>
            </w:r>
            <w:r w:rsidRPr="00EE2DE7">
              <w:rPr>
                <w:kern w:val="24"/>
              </w:rPr>
              <w:lastRenderedPageBreak/>
              <w:t>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lastRenderedPageBreak/>
              <w:t xml:space="preserve">Avokatura e Shtetit / </w:t>
            </w:r>
            <w:r w:rsidRPr="00EE2DE7">
              <w:rPr>
                <w:kern w:val="24"/>
                <w:u w:val="wave"/>
              </w:rPr>
              <w:lastRenderedPageBreak/>
              <w:t>SHM/KiE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lastRenderedPageBreak/>
              <w:t xml:space="preserve">E drejta e pronës në këndvështrimin e jurisprudencës së GJEDNJ-së dhe problematika e legjislacionit dhe praktikës </w:t>
            </w:r>
            <w:r w:rsidRPr="00EE2DE7">
              <w:rPr>
                <w:kern w:val="24"/>
                <w:u w:val="wave"/>
              </w:rPr>
              <w:lastRenderedPageBreak/>
              <w:t>vendase.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Risitë e ligjit nr. 133/2015, datë 5.12.2015, “</w:t>
            </w:r>
            <w:r w:rsidRPr="00EE2DE7">
              <w:rPr>
                <w:i/>
                <w:kern w:val="24"/>
                <w:u w:val="wave"/>
              </w:rPr>
              <w:t>Për trajtimin e pronës dhe përfundimin e procesit të kompensimit të pronave</w:t>
            </w:r>
            <w:r w:rsidRPr="00EE2DE7">
              <w:rPr>
                <w:kern w:val="24"/>
                <w:u w:val="wave"/>
              </w:rPr>
              <w:t>”. Problematikat e hasura në praktikën gjyqësore;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lidhur me zbatimin e tij.  Llojet e vendimeve që merr ATP-ja dhe ndarja e kompetencave mes gjykatave civile dhe administrative;</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Shqyrtimi i mosmarrëveshjeve që lidhen me vendimet e dhëna nga ish-KKP-ja dhe ish-AKKP-ja;</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Parime të përgjithshme të njohjes dhe shpërblimit të drejtë të vuajtjeve të shkaktuara nga marrja dhe mbajtja e padrejtë e pronës;</w:t>
            </w:r>
          </w:p>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w:t>
            </w:r>
            <w:r w:rsidRPr="00EE2DE7">
              <w:rPr>
                <w:kern w:val="24"/>
                <w:u w:val="wave"/>
              </w:rPr>
              <w:tab/>
              <w:t>Metodologjia e vlerësimit të kompensimit.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18-19 qershor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Projekti i Këshillit të Europës për Krimin Kibernetik</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Krimi kibernetik.</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Evidentimi i krimit kibernetik;</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Procedimi Penal në rastet e krimit kibernetik: dëshmitë elektronike;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rFonts w:eastAsia="Calibri"/>
                <w:kern w:val="24"/>
              </w:rPr>
              <w:t>Të ardhurat nga krimi online;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Calibri"/>
                <w:kern w:val="24"/>
              </w:rPr>
              <w:t>Përdorimi i internetit për qëllime terroriste</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20-21 qershor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BERZH / KPMG</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Calibri"/>
                <w:color w:val="222222"/>
                <w:kern w:val="24"/>
              </w:rPr>
              <w:t>Mbi zbatimin e legjislacionit tatimor në Shqipëri.</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25-26 qershor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rFonts w:eastAsia="Calibri"/>
                <w:kern w:val="24"/>
              </w:rPr>
            </w:pPr>
            <w:r w:rsidRPr="00EE2DE7">
              <w:rPr>
                <w:kern w:val="24"/>
                <w:u w:val="wave"/>
              </w:rPr>
              <w:t>SHM / IRZ</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Zbatimi i s</w:t>
            </w:r>
            <w:r w:rsidRPr="00EE2DE7">
              <w:rPr>
                <w:rFonts w:eastAsia="MS Mincho"/>
                <w:kern w:val="24"/>
              </w:rPr>
              <w:t>ë</w:t>
            </w:r>
            <w:r w:rsidRPr="00EE2DE7">
              <w:rPr>
                <w:rFonts w:eastAsia="Calibri"/>
                <w:kern w:val="24"/>
                <w:lang w:eastAsia="sq-AL"/>
              </w:rPr>
              <w:t xml:space="preserve"> drejt</w:t>
            </w:r>
            <w:r w:rsidRPr="00EE2DE7">
              <w:rPr>
                <w:rFonts w:eastAsia="MS Mincho"/>
                <w:kern w:val="24"/>
              </w:rPr>
              <w:t>ë</w:t>
            </w:r>
            <w:r w:rsidRPr="00EE2DE7">
              <w:rPr>
                <w:rFonts w:eastAsia="Calibri"/>
                <w:kern w:val="24"/>
                <w:lang w:eastAsia="sq-AL"/>
              </w:rPr>
              <w:t>s europiane nga gjykatat komb</w:t>
            </w:r>
            <w:r w:rsidRPr="00EE2DE7">
              <w:rPr>
                <w:rFonts w:eastAsia="MS Mincho"/>
                <w:kern w:val="24"/>
              </w:rPr>
              <w:t>ë</w:t>
            </w:r>
            <w:r w:rsidRPr="00EE2DE7">
              <w:rPr>
                <w:rFonts w:eastAsia="Calibri"/>
                <w:kern w:val="24"/>
                <w:lang w:eastAsia="sq-AL"/>
              </w:rPr>
              <w:t>tare.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Natyra dhe parimet e s</w:t>
            </w:r>
            <w:r w:rsidRPr="00EE2DE7">
              <w:rPr>
                <w:rFonts w:eastAsia="MS Mincho"/>
                <w:kern w:val="24"/>
              </w:rPr>
              <w:t>ë</w:t>
            </w:r>
            <w:r w:rsidRPr="00EE2DE7">
              <w:rPr>
                <w:rFonts w:eastAsia="Calibri"/>
                <w:kern w:val="24"/>
                <w:lang w:eastAsia="sq-AL"/>
              </w:rPr>
              <w:t xml:space="preserve"> drejt</w:t>
            </w:r>
            <w:r w:rsidRPr="00EE2DE7">
              <w:rPr>
                <w:rFonts w:eastAsia="MS Mincho"/>
                <w:kern w:val="24"/>
              </w:rPr>
              <w:t>ë</w:t>
            </w:r>
            <w:r w:rsidRPr="00EE2DE7">
              <w:rPr>
                <w:rFonts w:eastAsia="Calibri"/>
                <w:kern w:val="24"/>
                <w:lang w:eastAsia="sq-AL"/>
              </w:rPr>
              <w:t>s s</w:t>
            </w:r>
            <w:r w:rsidRPr="00EE2DE7">
              <w:rPr>
                <w:rFonts w:eastAsia="MS Mincho"/>
                <w:kern w:val="24"/>
              </w:rPr>
              <w:t>ë</w:t>
            </w:r>
            <w:r w:rsidRPr="00EE2DE7">
              <w:rPr>
                <w:rFonts w:eastAsia="Calibri"/>
                <w:kern w:val="24"/>
                <w:lang w:eastAsia="sq-AL"/>
              </w:rPr>
              <w:t xml:space="preserve"> BE-s</w:t>
            </w:r>
            <w:r w:rsidRPr="00EE2DE7">
              <w:rPr>
                <w:rFonts w:eastAsia="MS Mincho"/>
                <w:kern w:val="24"/>
              </w:rPr>
              <w:t>ë</w:t>
            </w:r>
            <w:r w:rsidRPr="00EE2DE7">
              <w:rPr>
                <w:rFonts w:eastAsia="Calibri"/>
                <w:kern w:val="24"/>
                <w:lang w:eastAsia="sq-AL"/>
              </w:rPr>
              <w:t xml:space="preserve"> sipas jurisprudenc</w:t>
            </w:r>
            <w:r w:rsidRPr="00EE2DE7">
              <w:rPr>
                <w:rFonts w:eastAsia="MS Mincho"/>
                <w:kern w:val="24"/>
              </w:rPr>
              <w:t>ë</w:t>
            </w:r>
            <w:r w:rsidRPr="00EE2DE7">
              <w:rPr>
                <w:rFonts w:eastAsia="Calibri"/>
                <w:kern w:val="24"/>
                <w:lang w:eastAsia="sq-AL"/>
              </w:rPr>
              <w:t>s s</w:t>
            </w:r>
            <w:r w:rsidRPr="00EE2DE7">
              <w:rPr>
                <w:rFonts w:eastAsia="MS Mincho"/>
                <w:kern w:val="24"/>
              </w:rPr>
              <w:t>ë</w:t>
            </w:r>
            <w:r w:rsidRPr="00EE2DE7">
              <w:rPr>
                <w:rFonts w:eastAsia="Calibri"/>
                <w:kern w:val="24"/>
                <w:lang w:eastAsia="sq-AL"/>
              </w:rPr>
              <w:t xml:space="preserve"> GJDBE-së;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Procedurat paragjykimore;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Kush e bën referimin? Kuptimi i termit gjykatë apo tribunal;</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Faza e gjykimit kur mund të bëhet referimi;</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Cilat janë detyrat kryesore që kryen gjyqtari kombëtar (forma dhe cilësia e pyetjeve, radha dhe forma e tyre etj.);</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Detyrat e Gjykatës Europiane të të Drejtave të Njeriut;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Përkthimi dhe komunikimi me palët,</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Calibri"/>
                <w:kern w:val="24"/>
                <w:lang w:eastAsia="sq-AL"/>
              </w:rPr>
            </w:pPr>
            <w:r w:rsidRPr="00EE2DE7">
              <w:rPr>
                <w:rFonts w:eastAsia="Calibri"/>
                <w:kern w:val="24"/>
                <w:lang w:eastAsia="sq-AL"/>
              </w:rPr>
              <w:t>•           Institucionet e BE-së dhe shtetet anëtare;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Calibri"/>
                <w:kern w:val="24"/>
                <w:lang w:eastAsia="sq-AL"/>
              </w:rPr>
              <w:t>•           Faza me shkrim dhe me gojë. Roli i avokatit të përgjithshëm; Rëndësia e vendimeve t</w:t>
            </w:r>
            <w:r w:rsidRPr="00EE2DE7">
              <w:rPr>
                <w:rFonts w:eastAsia="MS Mincho"/>
                <w:kern w:val="24"/>
              </w:rPr>
              <w:t>ë</w:t>
            </w:r>
            <w:r w:rsidRPr="00EE2DE7">
              <w:rPr>
                <w:rFonts w:eastAsia="Calibri"/>
                <w:kern w:val="24"/>
                <w:lang w:eastAsia="sq-AL"/>
              </w:rPr>
              <w:t xml:space="preserve"> GJDBE-s</w:t>
            </w:r>
            <w:r w:rsidRPr="00EE2DE7">
              <w:rPr>
                <w:rFonts w:eastAsia="MS Mincho"/>
                <w:kern w:val="24"/>
              </w:rPr>
              <w:t>ë</w:t>
            </w:r>
            <w:r w:rsidRPr="00EE2DE7">
              <w:rPr>
                <w:rFonts w:eastAsia="Calibri"/>
                <w:kern w:val="24"/>
              </w:rPr>
              <w:t>.</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27 qershor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kern w:val="24"/>
                <w:u w:val="wave"/>
              </w:rPr>
              <w:t>Gjykata, prokuroria dhe media, tre aktorë mbështetës të sistemit të drejtësisë, të drejtave të palëve në proces dhe interesit publik për të marrë informacion. Magjistrati i shtypit përballë gazetarit. Kufijtë e detyrës dhe rregullat e etikës.</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tabs>
                <w:tab w:val="left" w:pos="750"/>
              </w:tabs>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27-28 qershor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 / BERZH / KPMG</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rFonts w:eastAsia="Times New Roman"/>
                <w:kern w:val="24"/>
                <w:lang w:eastAsia="en-GB"/>
              </w:rPr>
            </w:pPr>
            <w:r w:rsidRPr="00EE2DE7">
              <w:rPr>
                <w:rFonts w:eastAsia="Times New Roman"/>
                <w:kern w:val="24"/>
              </w:rPr>
              <w:t>Mbi zbatimin e legjislacionit tatimor në Shqipëri.</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28 qershor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rFonts w:eastAsia="Times New Roman"/>
                <w:kern w:val="24"/>
                <w:lang w:eastAsia="en-GB"/>
              </w:rPr>
            </w:pPr>
            <w:r w:rsidRPr="00EE2DE7">
              <w:rPr>
                <w:rFonts w:eastAsia="Times New Roman"/>
                <w:kern w:val="24"/>
                <w:lang w:eastAsia="en-GB"/>
              </w:rPr>
              <w:t>Raporti i gjykatës dhe prokurorisë me median. Roli i magjistratit të shtypit në balancimin e interesit të palëve në proces dhe interesit publik për të marrë informacion. Kufijtë etikë dhe profesional (pjes</w:t>
            </w:r>
            <w:r w:rsidRPr="00EE2DE7">
              <w:rPr>
                <w:rFonts w:eastAsia="MS Mincho"/>
                <w:kern w:val="24"/>
              </w:rPr>
              <w:t>ë</w:t>
            </w:r>
            <w:r w:rsidRPr="00EE2DE7">
              <w:rPr>
                <w:rFonts w:eastAsia="Times New Roman"/>
                <w:kern w:val="24"/>
                <w:lang w:eastAsia="en-GB"/>
              </w:rPr>
              <w:t>marr</w:t>
            </w:r>
            <w:r w:rsidRPr="00EE2DE7">
              <w:rPr>
                <w:rFonts w:eastAsia="MS Mincho"/>
                <w:kern w:val="24"/>
              </w:rPr>
              <w:t>ë</w:t>
            </w:r>
            <w:r w:rsidRPr="00EE2DE7">
              <w:rPr>
                <w:rFonts w:eastAsia="Times New Roman"/>
                <w:kern w:val="24"/>
                <w:lang w:eastAsia="en-GB"/>
              </w:rPr>
              <w:t>s gjyqtar</w:t>
            </w:r>
            <w:r w:rsidRPr="00EE2DE7">
              <w:rPr>
                <w:rFonts w:eastAsia="MS Mincho"/>
                <w:kern w:val="24"/>
              </w:rPr>
              <w:t>ë</w:t>
            </w:r>
            <w:r w:rsidRPr="00EE2DE7">
              <w:rPr>
                <w:rFonts w:eastAsia="Times New Roman"/>
                <w:kern w:val="24"/>
                <w:lang w:eastAsia="en-GB"/>
              </w:rPr>
              <w:t>)</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28-29 qershor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PAMECA V</w:t>
            </w:r>
          </w:p>
        </w:tc>
        <w:tc>
          <w:tcPr>
            <w:tcW w:w="6300" w:type="dxa"/>
          </w:tcPr>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Raporti prokurori-gjykatë për mënyrën e përfundimit të hetimeve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•Roli i prokurorit në drejtimin dhe kontrollin e hetimeve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•K</w:t>
            </w:r>
            <w:r w:rsidRPr="00EE2DE7">
              <w:rPr>
                <w:rFonts w:eastAsia="MS Mincho"/>
                <w:kern w:val="24"/>
              </w:rPr>
              <w:t>ë</w:t>
            </w:r>
            <w:r w:rsidRPr="00EE2DE7">
              <w:rPr>
                <w:kern w:val="24"/>
                <w:u w:val="wave"/>
              </w:rPr>
              <w:t>rkesa p</w:t>
            </w:r>
            <w:r w:rsidRPr="00EE2DE7">
              <w:rPr>
                <w:rFonts w:eastAsia="MS Mincho"/>
                <w:kern w:val="24"/>
              </w:rPr>
              <w:t>ë</w:t>
            </w:r>
            <w:r w:rsidRPr="00EE2DE7">
              <w:rPr>
                <w:kern w:val="24"/>
                <w:u w:val="wave"/>
              </w:rPr>
              <w:t>r gjykim e prokurorit dhe seanca paraprake. Pavlefshm</w:t>
            </w:r>
            <w:r w:rsidRPr="00EE2DE7">
              <w:rPr>
                <w:rFonts w:eastAsia="MS Mincho"/>
                <w:kern w:val="24"/>
              </w:rPr>
              <w:t>ë</w:t>
            </w:r>
            <w:r w:rsidRPr="00EE2DE7">
              <w:rPr>
                <w:kern w:val="24"/>
                <w:u w:val="wave"/>
              </w:rPr>
              <w:t>rit</w:t>
            </w:r>
            <w:r w:rsidRPr="00EE2DE7">
              <w:rPr>
                <w:rFonts w:eastAsia="MS Mincho"/>
                <w:kern w:val="24"/>
              </w:rPr>
              <w:t>ë</w:t>
            </w:r>
            <w:r w:rsidRPr="00EE2DE7">
              <w:rPr>
                <w:kern w:val="24"/>
                <w:u w:val="wave"/>
              </w:rPr>
              <w:t xml:space="preserve"> e akteve dhe shqyrtimi i tyre gjat</w:t>
            </w:r>
            <w:r w:rsidRPr="00EE2DE7">
              <w:rPr>
                <w:rFonts w:eastAsia="MS Mincho"/>
                <w:kern w:val="24"/>
              </w:rPr>
              <w:t>ë</w:t>
            </w:r>
            <w:r w:rsidRPr="00EE2DE7">
              <w:rPr>
                <w:kern w:val="24"/>
                <w:u w:val="wave"/>
              </w:rPr>
              <w:t xml:space="preserve"> k</w:t>
            </w:r>
            <w:r w:rsidRPr="00EE2DE7">
              <w:rPr>
                <w:rFonts w:eastAsia="MS Mincho"/>
                <w:kern w:val="24"/>
              </w:rPr>
              <w:t>ë</w:t>
            </w:r>
            <w:r w:rsidRPr="00EE2DE7">
              <w:rPr>
                <w:kern w:val="24"/>
                <w:u w:val="wave"/>
              </w:rPr>
              <w:t>saj seance.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•Kontrolli gjyqësor gjatë fazës së hetimeve paraprake;</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Dita e dytë:</w:t>
            </w:r>
          </w:p>
          <w:p w:rsidR="008D2205" w:rsidRPr="00EE2DE7" w:rsidRDefault="008D2205" w:rsidP="002737A9">
            <w:pPr>
              <w:jc w:val="both"/>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Kontrolli juridiksional mbi ushtrimin e ndjekjes penale. Karakteristikat thelb</w:t>
            </w:r>
            <w:r w:rsidRPr="00EE2DE7">
              <w:rPr>
                <w:rFonts w:eastAsia="MS Mincho"/>
                <w:kern w:val="24"/>
              </w:rPr>
              <w:t>ë</w:t>
            </w:r>
            <w:r w:rsidRPr="00EE2DE7">
              <w:rPr>
                <w:kern w:val="24"/>
                <w:u w:val="wave"/>
              </w:rPr>
              <w:t>sore t</w:t>
            </w:r>
            <w:r w:rsidRPr="00EE2DE7">
              <w:rPr>
                <w:rFonts w:eastAsia="MS Mincho"/>
                <w:kern w:val="24"/>
              </w:rPr>
              <w:t>ë</w:t>
            </w:r>
            <w:r w:rsidRPr="00EE2DE7">
              <w:rPr>
                <w:kern w:val="24"/>
                <w:u w:val="wave"/>
              </w:rPr>
              <w:t xml:space="preserve"> saj - detyrueshm</w:t>
            </w:r>
            <w:r w:rsidRPr="00EE2DE7">
              <w:rPr>
                <w:rFonts w:eastAsia="MS Mincho"/>
                <w:kern w:val="24"/>
              </w:rPr>
              <w:t>ë</w:t>
            </w:r>
            <w:r w:rsidRPr="00EE2DE7">
              <w:rPr>
                <w:kern w:val="24"/>
                <w:u w:val="wave"/>
              </w:rPr>
              <w:t>ria dhe pakthyeshm</w:t>
            </w:r>
            <w:r w:rsidRPr="00EE2DE7">
              <w:rPr>
                <w:rFonts w:eastAsia="MS Mincho"/>
                <w:kern w:val="24"/>
              </w:rPr>
              <w:t>ë</w:t>
            </w:r>
            <w:r w:rsidRPr="00EE2DE7">
              <w:rPr>
                <w:kern w:val="24"/>
                <w:u w:val="wave"/>
              </w:rPr>
              <w:t>ria. Kontrolli mbi mosushtrimin e ndjekjes penale nga prokurori. Raporti i prokurorit me policinë gjyqësore, veprimet me iniciativë dhe ato të deleguara.</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29 qershor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KiE</w:t>
            </w:r>
          </w:p>
        </w:tc>
        <w:tc>
          <w:tcPr>
            <w:tcW w:w="6300" w:type="dxa"/>
          </w:tcPr>
          <w:p w:rsidR="008D2205" w:rsidRPr="00EE2DE7" w:rsidRDefault="008D2205" w:rsidP="002737A9">
            <w:pPr>
              <w:jc w:val="both"/>
              <w:cnfStyle w:val="000000100000" w:firstRow="0" w:lastRow="0" w:firstColumn="0" w:lastColumn="0" w:oddVBand="0" w:evenVBand="0" w:oddHBand="1" w:evenHBand="0" w:firstRowFirstColumn="0" w:firstRowLastColumn="0" w:lastRowFirstColumn="0" w:lastRowLastColumn="0"/>
              <w:rPr>
                <w:kern w:val="24"/>
                <w:u w:val="wave"/>
              </w:rPr>
            </w:pPr>
            <w:r w:rsidRPr="00EE2DE7">
              <w:rPr>
                <w:rFonts w:eastAsia="Times New Roman"/>
                <w:kern w:val="24"/>
                <w:lang w:eastAsia="en-GB"/>
              </w:rPr>
              <w:t>Raporti i gjykatës dhe prokurorisë me median. Roli i magjistratit të shtypit në balancimin e interesit të palëve në proces dhe interesit publik për të marrë informacion. Kufijtë etikë dhe profesional</w:t>
            </w:r>
            <w:r w:rsidRPr="00EE2DE7">
              <w:rPr>
                <w:rFonts w:eastAsia="MS Mincho"/>
                <w:kern w:val="24"/>
              </w:rPr>
              <w:t>ë</w:t>
            </w:r>
            <w:r w:rsidRPr="00EE2DE7">
              <w:rPr>
                <w:rFonts w:eastAsia="Times New Roman"/>
                <w:kern w:val="24"/>
                <w:lang w:eastAsia="en-GB"/>
              </w:rPr>
              <w:t xml:space="preserve"> (pjes</w:t>
            </w:r>
            <w:r w:rsidRPr="00EE2DE7">
              <w:rPr>
                <w:rFonts w:eastAsia="MS Mincho"/>
                <w:kern w:val="24"/>
              </w:rPr>
              <w:t>ë</w:t>
            </w:r>
            <w:r w:rsidRPr="00EE2DE7">
              <w:rPr>
                <w:rFonts w:eastAsia="Times New Roman"/>
                <w:kern w:val="24"/>
                <w:lang w:eastAsia="en-GB"/>
              </w:rPr>
              <w:t>marr</w:t>
            </w:r>
            <w:r w:rsidRPr="00EE2DE7">
              <w:rPr>
                <w:rFonts w:eastAsia="MS Mincho"/>
                <w:kern w:val="24"/>
              </w:rPr>
              <w:t>ë</w:t>
            </w:r>
            <w:r w:rsidRPr="00EE2DE7">
              <w:rPr>
                <w:rFonts w:eastAsia="Times New Roman"/>
                <w:kern w:val="24"/>
                <w:lang w:eastAsia="en-GB"/>
              </w:rPr>
              <w:t>s prokuror</w:t>
            </w:r>
            <w:r w:rsidRPr="00EE2DE7">
              <w:rPr>
                <w:rFonts w:eastAsia="MS Mincho"/>
                <w:kern w:val="24"/>
              </w:rPr>
              <w:t>ë</w:t>
            </w:r>
            <w:r w:rsidRPr="00EE2DE7">
              <w:rPr>
                <w:rFonts w:eastAsia="Times New Roman"/>
                <w:kern w:val="24"/>
                <w:lang w:eastAsia="en-GB"/>
              </w:rPr>
              <w:t xml:space="preserve">). </w:t>
            </w:r>
          </w:p>
        </w:tc>
      </w:tr>
      <w:tr w:rsidR="008D2205" w:rsidRPr="00EE2DE7" w:rsidTr="00D77236">
        <w:trPr>
          <w:cnfStyle w:val="000000010000" w:firstRow="0" w:lastRow="0" w:firstColumn="0" w:lastColumn="0" w:oddVBand="0" w:evenVBand="0" w:oddHBand="0" w:evenHBand="1"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rPr>
            </w:pPr>
            <w:r w:rsidRPr="00EE2DE7">
              <w:rPr>
                <w:kern w:val="24"/>
              </w:rPr>
              <w:t>9 korrik 2018</w:t>
            </w:r>
          </w:p>
        </w:tc>
        <w:tc>
          <w:tcPr>
            <w:tcW w:w="1678" w:type="dxa"/>
          </w:tcPr>
          <w:p w:rsidR="008D2205" w:rsidRPr="00EE2DE7" w:rsidRDefault="008D2205" w:rsidP="002737A9">
            <w:pPr>
              <w:jc w:val="center"/>
              <w:cnfStyle w:val="000000010000" w:firstRow="0" w:lastRow="0" w:firstColumn="0" w:lastColumn="0" w:oddVBand="0" w:evenVBand="0" w:oddHBand="0" w:evenHBand="1" w:firstRowFirstColumn="0" w:firstRowLastColumn="0" w:lastRowFirstColumn="0" w:lastRowLastColumn="0"/>
              <w:rPr>
                <w:kern w:val="24"/>
                <w:u w:val="wave"/>
              </w:rPr>
            </w:pPr>
            <w:r w:rsidRPr="00EE2DE7">
              <w:rPr>
                <w:kern w:val="24"/>
                <w:u w:val="wave"/>
              </w:rPr>
              <w:t>SHM / Min Mbrojtjes / European Centre / Save the Children</w:t>
            </w:r>
          </w:p>
        </w:tc>
        <w:tc>
          <w:tcPr>
            <w:tcW w:w="6300" w:type="dxa"/>
          </w:tcPr>
          <w:p w:rsidR="008D2205" w:rsidRPr="00EE2DE7" w:rsidRDefault="008D2205" w:rsidP="002737A9">
            <w:pPr>
              <w:shd w:val="clear" w:color="auto" w:fill="FFFFFF"/>
              <w:jc w:val="both"/>
              <w:cnfStyle w:val="000000010000" w:firstRow="0" w:lastRow="0" w:firstColumn="0" w:lastColumn="0" w:oddVBand="0" w:evenVBand="0" w:oddHBand="0" w:evenHBand="1" w:firstRowFirstColumn="0" w:firstRowLastColumn="0" w:lastRowFirstColumn="0" w:lastRowLastColumn="0"/>
              <w:rPr>
                <w:rFonts w:eastAsia="Times New Roman"/>
                <w:kern w:val="24"/>
              </w:rPr>
            </w:pPr>
            <w:r w:rsidRPr="00EE2DE7">
              <w:rPr>
                <w:rFonts w:eastAsia="Times New Roman"/>
                <w:kern w:val="24"/>
              </w:rPr>
              <w:t>Standardet e GJEDNJ-s</w:t>
            </w:r>
            <w:r w:rsidRPr="00EE2DE7">
              <w:rPr>
                <w:rFonts w:eastAsia="MS Mincho"/>
                <w:kern w:val="24"/>
              </w:rPr>
              <w:t>ë</w:t>
            </w:r>
            <w:r w:rsidRPr="00EE2DE7">
              <w:rPr>
                <w:rFonts w:eastAsia="Times New Roman"/>
                <w:kern w:val="24"/>
              </w:rPr>
              <w:t xml:space="preserve"> n</w:t>
            </w:r>
            <w:r w:rsidRPr="00EE2DE7">
              <w:rPr>
                <w:rFonts w:eastAsia="MS Mincho"/>
                <w:kern w:val="24"/>
              </w:rPr>
              <w:t>ë</w:t>
            </w:r>
            <w:r w:rsidRPr="00EE2DE7">
              <w:rPr>
                <w:rFonts w:eastAsia="Times New Roman"/>
                <w:kern w:val="24"/>
              </w:rPr>
              <w:t xml:space="preserve"> lidhje me azilin dhe migracionin e paligjsh</w:t>
            </w:r>
            <w:r w:rsidRPr="00EE2DE7">
              <w:rPr>
                <w:rFonts w:eastAsia="MS Mincho"/>
                <w:kern w:val="24"/>
              </w:rPr>
              <w:t>ë</w:t>
            </w:r>
            <w:r w:rsidRPr="00EE2DE7">
              <w:rPr>
                <w:rFonts w:eastAsia="Times New Roman"/>
                <w:kern w:val="24"/>
              </w:rPr>
              <w:t>m.</w:t>
            </w:r>
          </w:p>
        </w:tc>
      </w:tr>
      <w:tr w:rsidR="008D2205" w:rsidRPr="00EE2DE7" w:rsidTr="00D77236">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583" w:type="dxa"/>
          </w:tcPr>
          <w:p w:rsidR="008D2205" w:rsidRPr="00EE2DE7" w:rsidRDefault="008D2205" w:rsidP="005C2687">
            <w:pPr>
              <w:numPr>
                <w:ilvl w:val="0"/>
                <w:numId w:val="34"/>
              </w:numPr>
              <w:contextualSpacing/>
              <w:jc w:val="center"/>
              <w:rPr>
                <w:rFonts w:ascii="Times New Roman" w:eastAsia="Calibri" w:hAnsi="Times New Roman" w:cs="Times New Roman"/>
                <w:kern w:val="24"/>
              </w:rPr>
            </w:pPr>
          </w:p>
        </w:tc>
        <w:tc>
          <w:tcPr>
            <w:tcW w:w="1424"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rPr>
            </w:pPr>
            <w:r w:rsidRPr="00EE2DE7">
              <w:rPr>
                <w:kern w:val="24"/>
              </w:rPr>
              <w:t>10 korrik 2018</w:t>
            </w:r>
          </w:p>
        </w:tc>
        <w:tc>
          <w:tcPr>
            <w:tcW w:w="1678" w:type="dxa"/>
          </w:tcPr>
          <w:p w:rsidR="008D2205" w:rsidRPr="00EE2DE7" w:rsidRDefault="008D2205" w:rsidP="002737A9">
            <w:pPr>
              <w:jc w:val="center"/>
              <w:cnfStyle w:val="000000100000" w:firstRow="0" w:lastRow="0" w:firstColumn="0" w:lastColumn="0" w:oddVBand="0" w:evenVBand="0" w:oddHBand="1" w:evenHBand="0" w:firstRowFirstColumn="0" w:firstRowLastColumn="0" w:lastRowFirstColumn="0" w:lastRowLastColumn="0"/>
              <w:rPr>
                <w:kern w:val="24"/>
                <w:u w:val="wave"/>
              </w:rPr>
            </w:pPr>
            <w:r w:rsidRPr="00EE2DE7">
              <w:rPr>
                <w:kern w:val="24"/>
                <w:u w:val="wave"/>
              </w:rPr>
              <w:t>SHM / Min Mbrojtjes / European Centre / Save the Children</w:t>
            </w:r>
          </w:p>
        </w:tc>
        <w:tc>
          <w:tcPr>
            <w:tcW w:w="6300" w:type="dxa"/>
          </w:tcPr>
          <w:p w:rsidR="008D2205" w:rsidRPr="00EE2DE7" w:rsidRDefault="008D2205" w:rsidP="002737A9">
            <w:pPr>
              <w:shd w:val="clear" w:color="auto" w:fill="FFFFFF"/>
              <w:jc w:val="both"/>
              <w:cnfStyle w:val="000000100000" w:firstRow="0" w:lastRow="0" w:firstColumn="0" w:lastColumn="0" w:oddVBand="0" w:evenVBand="0" w:oddHBand="1" w:evenHBand="0" w:firstRowFirstColumn="0" w:firstRowLastColumn="0" w:lastRowFirstColumn="0" w:lastRowLastColumn="0"/>
              <w:rPr>
                <w:rFonts w:eastAsia="Times New Roman"/>
                <w:kern w:val="24"/>
              </w:rPr>
            </w:pPr>
            <w:r w:rsidRPr="00EE2DE7">
              <w:rPr>
                <w:rFonts w:eastAsia="Times New Roman"/>
                <w:kern w:val="24"/>
              </w:rPr>
              <w:t>Standardet e GJEDNJ-s</w:t>
            </w:r>
            <w:r w:rsidRPr="00EE2DE7">
              <w:rPr>
                <w:rFonts w:eastAsia="MS Mincho"/>
                <w:kern w:val="24"/>
              </w:rPr>
              <w:t>ë</w:t>
            </w:r>
            <w:r w:rsidRPr="00EE2DE7">
              <w:rPr>
                <w:rFonts w:eastAsia="Times New Roman"/>
                <w:kern w:val="24"/>
              </w:rPr>
              <w:t xml:space="preserve"> n</w:t>
            </w:r>
            <w:r w:rsidRPr="00EE2DE7">
              <w:rPr>
                <w:rFonts w:eastAsia="MS Mincho"/>
                <w:kern w:val="24"/>
              </w:rPr>
              <w:t>ë</w:t>
            </w:r>
            <w:r w:rsidRPr="00EE2DE7">
              <w:rPr>
                <w:rFonts w:eastAsia="Times New Roman"/>
                <w:kern w:val="24"/>
              </w:rPr>
              <w:t xml:space="preserve"> lidhje me azilin dhe migracionin e paligjsh</w:t>
            </w:r>
            <w:r w:rsidRPr="00EE2DE7">
              <w:rPr>
                <w:rFonts w:eastAsia="MS Mincho"/>
                <w:kern w:val="24"/>
              </w:rPr>
              <w:t>ë</w:t>
            </w:r>
            <w:r w:rsidRPr="00EE2DE7">
              <w:rPr>
                <w:rFonts w:eastAsia="Times New Roman"/>
                <w:kern w:val="24"/>
              </w:rPr>
              <w:t xml:space="preserve">m. </w:t>
            </w:r>
          </w:p>
        </w:tc>
      </w:tr>
    </w:tbl>
    <w:p w:rsidR="008D2205" w:rsidRDefault="008D2205" w:rsidP="008D2205">
      <w:pPr>
        <w:spacing w:line="276" w:lineRule="auto"/>
        <w:jc w:val="both"/>
        <w:rPr>
          <w:b/>
          <w:color w:val="CC9966" w:themeColor="accent2"/>
          <w:sz w:val="32"/>
        </w:rPr>
      </w:pPr>
    </w:p>
    <w:p w:rsidR="00D77236" w:rsidRPr="00D77236" w:rsidRDefault="00D77236" w:rsidP="00D77236">
      <w:pPr>
        <w:spacing w:line="276" w:lineRule="auto"/>
        <w:jc w:val="both"/>
        <w:rPr>
          <w:b/>
          <w:noProof/>
          <w:color w:val="CC9966" w:themeColor="accent2"/>
          <w:sz w:val="32"/>
          <w:lang w:eastAsia="en-US"/>
        </w:rPr>
      </w:pPr>
      <w:r w:rsidRPr="00D77236">
        <w:rPr>
          <w:b/>
          <w:noProof/>
          <w:color w:val="CC9966" w:themeColor="accent2"/>
          <w:sz w:val="32"/>
          <w:lang w:eastAsia="en-US"/>
        </w:rPr>
        <w:t>3.2 Takime pune/konferenca/seminare dhe vizita studimore gjatë vitit akademik 2017-2018</w:t>
      </w:r>
    </w:p>
    <w:p w:rsidR="00D77236" w:rsidRPr="00403656" w:rsidRDefault="00D77236" w:rsidP="005C2687">
      <w:pPr>
        <w:pStyle w:val="NoSpacing"/>
        <w:numPr>
          <w:ilvl w:val="0"/>
          <w:numId w:val="36"/>
        </w:numPr>
        <w:spacing w:line="276" w:lineRule="auto"/>
        <w:jc w:val="both"/>
        <w:rPr>
          <w:rFonts w:ascii="Times New Roman" w:hAnsi="Times New Roman"/>
          <w:b/>
          <w:color w:val="0070C0"/>
          <w:sz w:val="24"/>
          <w:szCs w:val="24"/>
          <w:shd w:val="clear" w:color="auto" w:fill="FFFFFF"/>
          <w:lang w:val="sq-AL"/>
        </w:rPr>
      </w:pPr>
      <w:r>
        <w:rPr>
          <w:rFonts w:ascii="Times New Roman" w:hAnsi="Times New Roman"/>
          <w:b/>
          <w:color w:val="0070C0"/>
          <w:sz w:val="24"/>
          <w:szCs w:val="24"/>
          <w:shd w:val="clear" w:color="auto" w:fill="FFFFFF"/>
          <w:lang w:val="sq-AL"/>
        </w:rPr>
        <w:t>Ceremonia e 20-</w:t>
      </w:r>
      <w:r w:rsidRPr="00403656">
        <w:rPr>
          <w:rFonts w:ascii="Times New Roman" w:hAnsi="Times New Roman"/>
          <w:b/>
          <w:color w:val="0070C0"/>
          <w:sz w:val="24"/>
          <w:szCs w:val="24"/>
          <w:shd w:val="clear" w:color="auto" w:fill="FFFFFF"/>
          <w:lang w:val="sq-AL"/>
        </w:rPr>
        <w:t>vjetorit të veprimtarisë akademike të Shkollës së Magjistraturës</w:t>
      </w:r>
    </w:p>
    <w:p w:rsidR="00D77236" w:rsidRPr="00EE2DE7" w:rsidRDefault="00D77236" w:rsidP="00D77236">
      <w:pPr>
        <w:pStyle w:val="NoSpacing"/>
        <w:spacing w:line="276" w:lineRule="auto"/>
        <w:jc w:val="both"/>
        <w:rPr>
          <w:rFonts w:asciiTheme="minorHAnsi" w:hAnsiTheme="minorHAnsi" w:cstheme="minorHAnsi"/>
          <w:shd w:val="clear" w:color="auto" w:fill="FFFFFF"/>
          <w:lang w:val="sq-AL"/>
        </w:rPr>
      </w:pPr>
    </w:p>
    <w:p w:rsidR="00D77236" w:rsidRDefault="00D77236" w:rsidP="00D77236">
      <w:pPr>
        <w:pStyle w:val="NoSpacing"/>
        <w:spacing w:line="276" w:lineRule="auto"/>
        <w:jc w:val="both"/>
        <w:rPr>
          <w:rFonts w:ascii="Times New Roman" w:hAnsi="Times New Roman"/>
          <w:sz w:val="24"/>
          <w:szCs w:val="24"/>
          <w:lang w:val="sq-AL"/>
        </w:rPr>
      </w:pPr>
      <w:r>
        <w:rPr>
          <w:rFonts w:ascii="Times New Roman" w:hAnsi="Times New Roman"/>
          <w:sz w:val="24"/>
          <w:szCs w:val="24"/>
          <w:shd w:val="clear" w:color="auto" w:fill="FFFFFF"/>
          <w:lang w:val="sq-AL"/>
        </w:rPr>
        <w:t>Në kuadër të kremtimit të 20-</w:t>
      </w:r>
      <w:r w:rsidRPr="00EE2DE7">
        <w:rPr>
          <w:rFonts w:ascii="Times New Roman" w:hAnsi="Times New Roman"/>
          <w:sz w:val="24"/>
          <w:szCs w:val="24"/>
          <w:shd w:val="clear" w:color="auto" w:fill="FFFFFF"/>
          <w:lang w:val="sq-AL"/>
        </w:rPr>
        <w:t>vjetorit të fillimit të veprimtarisë akademike të saj, Shkolla e Magjistraturës organizoi eventin me titull “</w:t>
      </w:r>
      <w:r w:rsidRPr="008B3E33">
        <w:rPr>
          <w:rFonts w:ascii="Times New Roman" w:hAnsi="Times New Roman"/>
          <w:i/>
          <w:sz w:val="24"/>
          <w:szCs w:val="24"/>
          <w:shd w:val="clear" w:color="auto" w:fill="FFFFFF"/>
          <w:lang w:val="sq-AL"/>
        </w:rPr>
        <w:t xml:space="preserve">Magjistratura në </w:t>
      </w:r>
      <w:r>
        <w:rPr>
          <w:rFonts w:ascii="Times New Roman" w:hAnsi="Times New Roman"/>
          <w:i/>
          <w:sz w:val="24"/>
          <w:szCs w:val="24"/>
          <w:shd w:val="clear" w:color="auto" w:fill="FFFFFF"/>
          <w:lang w:val="sq-AL"/>
        </w:rPr>
        <w:t>p</w:t>
      </w:r>
      <w:r w:rsidRPr="008B3E33">
        <w:rPr>
          <w:rFonts w:ascii="Times New Roman" w:hAnsi="Times New Roman"/>
          <w:i/>
          <w:sz w:val="24"/>
          <w:szCs w:val="24"/>
          <w:shd w:val="clear" w:color="auto" w:fill="FFFFFF"/>
          <w:lang w:val="sq-AL"/>
        </w:rPr>
        <w:t xml:space="preserve">erspektivën </w:t>
      </w:r>
      <w:r>
        <w:rPr>
          <w:rFonts w:ascii="Times New Roman" w:hAnsi="Times New Roman"/>
          <w:i/>
          <w:sz w:val="24"/>
          <w:szCs w:val="24"/>
          <w:shd w:val="clear" w:color="auto" w:fill="FFFFFF"/>
          <w:lang w:val="sq-AL"/>
        </w:rPr>
        <w:t>e</w:t>
      </w:r>
      <w:r w:rsidRPr="008B3E33">
        <w:rPr>
          <w:rFonts w:ascii="Times New Roman" w:hAnsi="Times New Roman"/>
          <w:i/>
          <w:sz w:val="24"/>
          <w:szCs w:val="24"/>
          <w:shd w:val="clear" w:color="auto" w:fill="FFFFFF"/>
          <w:lang w:val="sq-AL"/>
        </w:rPr>
        <w:t>uropiane</w:t>
      </w:r>
      <w:r w:rsidRPr="00EE2DE7">
        <w:rPr>
          <w:rFonts w:ascii="Times New Roman" w:hAnsi="Times New Roman"/>
          <w:sz w:val="24"/>
          <w:szCs w:val="24"/>
          <w:shd w:val="clear" w:color="auto" w:fill="FFFFFF"/>
          <w:lang w:val="sq-AL"/>
        </w:rPr>
        <w:t>”. </w:t>
      </w:r>
      <w:r w:rsidRPr="00EE2DE7">
        <w:rPr>
          <w:rFonts w:ascii="Times New Roman" w:hAnsi="Times New Roman"/>
          <w:sz w:val="24"/>
          <w:szCs w:val="24"/>
          <w:lang w:val="sq-AL"/>
        </w:rPr>
        <w:br/>
      </w:r>
      <w:r w:rsidRPr="00EE2DE7">
        <w:rPr>
          <w:rFonts w:ascii="Times New Roman" w:hAnsi="Times New Roman"/>
          <w:sz w:val="24"/>
          <w:szCs w:val="24"/>
          <w:shd w:val="clear" w:color="auto" w:fill="FFFFFF"/>
          <w:lang w:val="sq-AL"/>
        </w:rPr>
        <w:t xml:space="preserve">Aktiviteti u zhvillua në </w:t>
      </w:r>
      <w:r>
        <w:rPr>
          <w:rFonts w:ascii="Times New Roman" w:hAnsi="Times New Roman"/>
          <w:sz w:val="24"/>
          <w:szCs w:val="24"/>
          <w:shd w:val="clear" w:color="auto" w:fill="FFFFFF"/>
          <w:lang w:val="sq-AL"/>
        </w:rPr>
        <w:t>h</w:t>
      </w:r>
      <w:r w:rsidRPr="00EE2DE7">
        <w:rPr>
          <w:rFonts w:ascii="Times New Roman" w:hAnsi="Times New Roman"/>
          <w:sz w:val="24"/>
          <w:szCs w:val="24"/>
          <w:shd w:val="clear" w:color="auto" w:fill="FFFFFF"/>
          <w:lang w:val="sq-AL"/>
        </w:rPr>
        <w:t xml:space="preserve">otel </w:t>
      </w:r>
      <w:r>
        <w:rPr>
          <w:rFonts w:ascii="Times New Roman" w:hAnsi="Times New Roman"/>
          <w:sz w:val="24"/>
          <w:szCs w:val="24"/>
          <w:shd w:val="clear" w:color="auto" w:fill="FFFFFF"/>
          <w:lang w:val="sq-AL"/>
        </w:rPr>
        <w:t>“</w:t>
      </w:r>
      <w:r w:rsidRPr="00A07C6C">
        <w:rPr>
          <w:rFonts w:ascii="Times New Roman" w:hAnsi="Times New Roman"/>
          <w:i/>
          <w:sz w:val="24"/>
          <w:szCs w:val="24"/>
          <w:shd w:val="clear" w:color="auto" w:fill="FFFFFF"/>
          <w:lang w:val="sq-AL"/>
        </w:rPr>
        <w:t>Rogner</w:t>
      </w:r>
      <w:r>
        <w:rPr>
          <w:rFonts w:ascii="Times New Roman" w:hAnsi="Times New Roman"/>
          <w:sz w:val="24"/>
          <w:szCs w:val="24"/>
          <w:shd w:val="clear" w:color="auto" w:fill="FFFFFF"/>
          <w:lang w:val="sq-AL"/>
        </w:rPr>
        <w:t>”, në datën 2 t</w:t>
      </w:r>
      <w:r w:rsidRPr="00EE2DE7">
        <w:rPr>
          <w:rFonts w:ascii="Times New Roman" w:hAnsi="Times New Roman"/>
          <w:sz w:val="24"/>
          <w:szCs w:val="24"/>
          <w:shd w:val="clear" w:color="auto" w:fill="FFFFFF"/>
          <w:lang w:val="sq-AL"/>
        </w:rPr>
        <w:t xml:space="preserve">etor, me pjesëmarrjen e personaliteteve të shumta të vendit dhe të huaj si dhe drejtues të institucioneve kryesore shtetërore. Ndër të ftuarit kryesorë, të cilët përshëndetën këtë përvjetor të rëndësishëm të shkollës ishin: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Xhezair Zaganjori, Kryetar i Gjykatës së Lartë dhe i Këshillit Drejtues të Shkollës, Ambasadorja e Delegacionit të Bashkimit E</w:t>
      </w:r>
      <w:r>
        <w:rPr>
          <w:rFonts w:ascii="Times New Roman" w:hAnsi="Times New Roman"/>
          <w:sz w:val="24"/>
          <w:szCs w:val="24"/>
          <w:shd w:val="clear" w:color="auto" w:fill="FFFFFF"/>
          <w:lang w:val="sq-AL"/>
        </w:rPr>
        <w:t>u</w:t>
      </w:r>
      <w:r w:rsidRPr="00EE2DE7">
        <w:rPr>
          <w:rFonts w:ascii="Times New Roman" w:hAnsi="Times New Roman"/>
          <w:sz w:val="24"/>
          <w:szCs w:val="24"/>
          <w:shd w:val="clear" w:color="auto" w:fill="FFFFFF"/>
          <w:lang w:val="sq-AL"/>
        </w:rPr>
        <w:t xml:space="preserve">ropian, </w:t>
      </w:r>
      <w:r>
        <w:rPr>
          <w:rFonts w:ascii="Times New Roman" w:hAnsi="Times New Roman"/>
          <w:sz w:val="24"/>
          <w:szCs w:val="24"/>
          <w:shd w:val="clear" w:color="auto" w:fill="FFFFFF"/>
          <w:lang w:val="sq-AL"/>
        </w:rPr>
        <w:t>zn</w:t>
      </w:r>
      <w:r w:rsidRPr="00EE2DE7">
        <w:rPr>
          <w:rFonts w:ascii="Times New Roman" w:hAnsi="Times New Roman"/>
          <w:sz w:val="24"/>
          <w:szCs w:val="24"/>
          <w:shd w:val="clear" w:color="auto" w:fill="FFFFFF"/>
          <w:lang w:val="sq-AL"/>
        </w:rPr>
        <w:t>j. Romana Vlahutin, Kreu i Zyrës së Këshillit të E</w:t>
      </w:r>
      <w:r>
        <w:rPr>
          <w:rFonts w:ascii="Times New Roman" w:hAnsi="Times New Roman"/>
          <w:sz w:val="24"/>
          <w:szCs w:val="24"/>
          <w:shd w:val="clear" w:color="auto" w:fill="FFFFFF"/>
          <w:lang w:val="sq-AL"/>
        </w:rPr>
        <w:t>u</w:t>
      </w:r>
      <w:r w:rsidRPr="00EE2DE7">
        <w:rPr>
          <w:rFonts w:ascii="Times New Roman" w:hAnsi="Times New Roman"/>
          <w:sz w:val="24"/>
          <w:szCs w:val="24"/>
          <w:shd w:val="clear" w:color="auto" w:fill="FFFFFF"/>
          <w:lang w:val="sq-AL"/>
        </w:rPr>
        <w:t xml:space="preserve">ropës,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xml:space="preserve">. Claus Neukirch, Ambasadori i Shteteve të Bashkuara të Amerikës,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xml:space="preserve">. Donald Lu,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v/</w:t>
      </w:r>
      <w:r>
        <w:rPr>
          <w:rFonts w:ascii="Times New Roman" w:hAnsi="Times New Roman"/>
          <w:sz w:val="24"/>
          <w:szCs w:val="24"/>
          <w:shd w:val="clear" w:color="auto" w:fill="FFFFFF"/>
          <w:lang w:val="sq-AL"/>
        </w:rPr>
        <w:t>k</w:t>
      </w:r>
      <w:r w:rsidRPr="00EE2DE7">
        <w:rPr>
          <w:rFonts w:ascii="Times New Roman" w:hAnsi="Times New Roman"/>
          <w:sz w:val="24"/>
          <w:szCs w:val="24"/>
          <w:shd w:val="clear" w:color="auto" w:fill="FFFFFF"/>
          <w:lang w:val="sq-AL"/>
        </w:rPr>
        <w:t>ryetari i Prezencës së OSBE</w:t>
      </w:r>
      <w:r>
        <w:rPr>
          <w:rFonts w:ascii="Times New Roman" w:hAnsi="Times New Roman"/>
          <w:sz w:val="24"/>
          <w:szCs w:val="24"/>
          <w:shd w:val="clear" w:color="auto" w:fill="FFFFFF"/>
          <w:lang w:val="sq-AL"/>
        </w:rPr>
        <w:t>-së në Tiranë, z</w:t>
      </w:r>
      <w:r w:rsidRPr="00EE2DE7">
        <w:rPr>
          <w:rFonts w:ascii="Times New Roman" w:hAnsi="Times New Roman"/>
          <w:sz w:val="24"/>
          <w:szCs w:val="24"/>
          <w:shd w:val="clear" w:color="auto" w:fill="FFFFFF"/>
          <w:lang w:val="sq-AL"/>
        </w:rPr>
        <w:t>. Robert W</w:t>
      </w:r>
      <w:r>
        <w:rPr>
          <w:rFonts w:ascii="Times New Roman" w:hAnsi="Times New Roman"/>
          <w:sz w:val="24"/>
          <w:szCs w:val="24"/>
          <w:shd w:val="clear" w:color="auto" w:fill="FFFFFF"/>
          <w:lang w:val="sq-AL"/>
        </w:rPr>
        <w:t>ilton, ministrja e Drejtësisë, znj</w:t>
      </w:r>
      <w:r w:rsidRPr="00EE2DE7">
        <w:rPr>
          <w:rFonts w:ascii="Times New Roman" w:hAnsi="Times New Roman"/>
          <w:sz w:val="24"/>
          <w:szCs w:val="24"/>
          <w:shd w:val="clear" w:color="auto" w:fill="FFFFFF"/>
          <w:lang w:val="sq-AL"/>
        </w:rPr>
        <w:t>.</w:t>
      </w:r>
      <w:r>
        <w:rPr>
          <w:rFonts w:ascii="Times New Roman" w:hAnsi="Times New Roman"/>
          <w:sz w:val="24"/>
          <w:szCs w:val="24"/>
          <w:shd w:val="clear" w:color="auto" w:fill="FFFFFF"/>
          <w:lang w:val="sq-AL"/>
        </w:rPr>
        <w:t xml:space="preserve"> </w:t>
      </w:r>
      <w:r w:rsidRPr="00EE2DE7">
        <w:rPr>
          <w:rFonts w:ascii="Times New Roman" w:hAnsi="Times New Roman"/>
          <w:sz w:val="24"/>
          <w:szCs w:val="24"/>
          <w:shd w:val="clear" w:color="auto" w:fill="FFFFFF"/>
          <w:lang w:val="sq-AL"/>
        </w:rPr>
        <w:t>Etilda</w:t>
      </w:r>
      <w:r>
        <w:rPr>
          <w:rFonts w:ascii="Times New Roman" w:hAnsi="Times New Roman"/>
          <w:sz w:val="24"/>
          <w:szCs w:val="24"/>
          <w:shd w:val="clear" w:color="auto" w:fill="FFFFFF"/>
          <w:lang w:val="sq-AL"/>
        </w:rPr>
        <w:t xml:space="preserve"> </w:t>
      </w:r>
      <w:r w:rsidRPr="00EE2DE7">
        <w:rPr>
          <w:rFonts w:ascii="Times New Roman" w:hAnsi="Times New Roman"/>
          <w:sz w:val="24"/>
          <w:szCs w:val="24"/>
          <w:shd w:val="clear" w:color="auto" w:fill="FFFFFF"/>
          <w:lang w:val="sq-AL"/>
        </w:rPr>
        <w:t>Gjonaj.</w:t>
      </w:r>
      <w:r>
        <w:rPr>
          <w:rFonts w:ascii="Times New Roman" w:hAnsi="Times New Roman"/>
          <w:sz w:val="24"/>
          <w:szCs w:val="24"/>
          <w:lang w:val="sq-AL"/>
        </w:rPr>
        <w:t xml:space="preserve"> </w:t>
      </w:r>
      <w:r w:rsidRPr="00EE2DE7">
        <w:rPr>
          <w:rFonts w:ascii="Times New Roman" w:hAnsi="Times New Roman"/>
          <w:sz w:val="24"/>
          <w:szCs w:val="24"/>
          <w:shd w:val="clear" w:color="auto" w:fill="FFFFFF"/>
          <w:lang w:val="sq-AL"/>
        </w:rPr>
        <w:t>Gjithashtu, në aktivitet morën pjesë të gjithë magjistratët e diplomuar në Shkollën e Magjistraturës që nga krijimi i saj si dhe kandidatët për magjistratë që aktualisht vazhdojnë shkollën.</w:t>
      </w:r>
      <w:r>
        <w:rPr>
          <w:rFonts w:ascii="Times New Roman" w:hAnsi="Times New Roman"/>
          <w:sz w:val="24"/>
          <w:szCs w:val="24"/>
          <w:lang w:val="sq-AL"/>
        </w:rPr>
        <w:t xml:space="preserve"> </w:t>
      </w:r>
      <w:r w:rsidRPr="00EE2DE7">
        <w:rPr>
          <w:rFonts w:ascii="Times New Roman" w:hAnsi="Times New Roman"/>
          <w:sz w:val="24"/>
          <w:szCs w:val="24"/>
          <w:shd w:val="clear" w:color="auto" w:fill="FFFFFF"/>
          <w:lang w:val="sq-AL"/>
        </w:rPr>
        <w:t xml:space="preserve">Njëkohësisht ishin të ftuar drejtuesit e Institucioneve të Trajnimit Gjyqësor të rajonit </w:t>
      </w:r>
      <w:r w:rsidRPr="00EE2DE7">
        <w:rPr>
          <w:rFonts w:ascii="Times New Roman" w:hAnsi="Times New Roman"/>
          <w:sz w:val="24"/>
          <w:szCs w:val="24"/>
          <w:shd w:val="clear" w:color="auto" w:fill="FFFFFF"/>
          <w:lang w:val="sq-AL"/>
        </w:rPr>
        <w:lastRenderedPageBreak/>
        <w:t xml:space="preserve">të Ballkanit, si Drejtoresha e Akademisë së Drejtësisë të Kroacisë, </w:t>
      </w:r>
      <w:r>
        <w:rPr>
          <w:rFonts w:ascii="Times New Roman" w:hAnsi="Times New Roman"/>
          <w:sz w:val="24"/>
          <w:szCs w:val="24"/>
          <w:shd w:val="clear" w:color="auto" w:fill="FFFFFF"/>
          <w:lang w:val="sq-AL"/>
        </w:rPr>
        <w:t>znj</w:t>
      </w:r>
      <w:r w:rsidRPr="00EE2DE7">
        <w:rPr>
          <w:rFonts w:ascii="Times New Roman" w:hAnsi="Times New Roman"/>
          <w:sz w:val="24"/>
          <w:szCs w:val="24"/>
          <w:shd w:val="clear" w:color="auto" w:fill="FFFFFF"/>
          <w:lang w:val="sq-AL"/>
        </w:rPr>
        <w:t xml:space="preserve">. Andrea Posavec Franic, Drejtori i Akademisë së Drejtësisë të Serbisë,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Nenad Vuji</w:t>
      </w:r>
      <w:r>
        <w:rPr>
          <w:rFonts w:ascii="Times New Roman" w:hAnsi="Times New Roman"/>
          <w:sz w:val="24"/>
          <w:szCs w:val="24"/>
          <w:shd w:val="clear" w:color="auto" w:fill="FFFFFF"/>
          <w:lang w:val="sq-AL"/>
        </w:rPr>
        <w:t>ç</w:t>
      </w:r>
      <w:r w:rsidRPr="00EE2DE7">
        <w:rPr>
          <w:rFonts w:ascii="Times New Roman" w:hAnsi="Times New Roman"/>
          <w:sz w:val="24"/>
          <w:szCs w:val="24"/>
          <w:shd w:val="clear" w:color="auto" w:fill="FFFFFF"/>
          <w:lang w:val="sq-AL"/>
        </w:rPr>
        <w:t xml:space="preserve">, Drejtori i Akademisë së Drejtësisë të Kosovës,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xml:space="preserve">. Besim Morina, Drejtoresha e Akademisë Gjyqësore të Maqedonisë, </w:t>
      </w:r>
      <w:r>
        <w:rPr>
          <w:rFonts w:ascii="Times New Roman" w:hAnsi="Times New Roman"/>
          <w:sz w:val="24"/>
          <w:szCs w:val="24"/>
          <w:shd w:val="clear" w:color="auto" w:fill="FFFFFF"/>
          <w:lang w:val="sq-AL"/>
        </w:rPr>
        <w:t>znj.</w:t>
      </w:r>
      <w:r w:rsidRPr="00EE2DE7">
        <w:rPr>
          <w:rFonts w:ascii="Times New Roman" w:hAnsi="Times New Roman"/>
          <w:sz w:val="24"/>
          <w:szCs w:val="24"/>
          <w:shd w:val="clear" w:color="auto" w:fill="FFFFFF"/>
          <w:lang w:val="sq-AL"/>
        </w:rPr>
        <w:t xml:space="preserve"> Aneta Arnaudovska, Drejtori i Qendrës Institucionale Publike për trajnimin e gjyqtarëve dhe prokurorëve të Bosnj</w:t>
      </w:r>
      <w:r>
        <w:rPr>
          <w:rFonts w:ascii="Times New Roman" w:hAnsi="Times New Roman"/>
          <w:sz w:val="24"/>
          <w:szCs w:val="24"/>
          <w:shd w:val="clear" w:color="auto" w:fill="FFFFFF"/>
          <w:lang w:val="sq-AL"/>
        </w:rPr>
        <w:t>ë-</w:t>
      </w:r>
      <w:r w:rsidRPr="00EE2DE7">
        <w:rPr>
          <w:rFonts w:ascii="Times New Roman" w:hAnsi="Times New Roman"/>
          <w:sz w:val="24"/>
          <w:szCs w:val="24"/>
          <w:shd w:val="clear" w:color="auto" w:fill="FFFFFF"/>
          <w:lang w:val="sq-AL"/>
        </w:rPr>
        <w:t xml:space="preserve">Hercegovinës,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xml:space="preserve">. Arben Murtezic, si dhe përfaqësuesi i Qendrës së Trajnimit Gjyqësor të Malit të Zi,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Vuk Mandic. Gjithashtu</w:t>
      </w:r>
      <w:r>
        <w:rPr>
          <w:rFonts w:ascii="Times New Roman" w:hAnsi="Times New Roman"/>
          <w:sz w:val="24"/>
          <w:szCs w:val="24"/>
          <w:shd w:val="clear" w:color="auto" w:fill="FFFFFF"/>
          <w:lang w:val="sq-AL"/>
        </w:rPr>
        <w:t>,</w:t>
      </w:r>
      <w:r w:rsidRPr="00EE2DE7">
        <w:rPr>
          <w:rFonts w:ascii="Times New Roman" w:hAnsi="Times New Roman"/>
          <w:sz w:val="24"/>
          <w:szCs w:val="24"/>
          <w:shd w:val="clear" w:color="auto" w:fill="FFFFFF"/>
          <w:lang w:val="sq-AL"/>
        </w:rPr>
        <w:t xml:space="preserve"> ishin të ftuar edhe përfaqësuesit e Shkollës së Magjistraturës së Francës, </w:t>
      </w:r>
      <w:r>
        <w:rPr>
          <w:rFonts w:ascii="Times New Roman" w:hAnsi="Times New Roman"/>
          <w:sz w:val="24"/>
          <w:szCs w:val="24"/>
          <w:shd w:val="clear" w:color="auto" w:fill="FFFFFF"/>
          <w:lang w:val="sq-AL"/>
        </w:rPr>
        <w:t>znj</w:t>
      </w:r>
      <w:r w:rsidRPr="00EE2DE7">
        <w:rPr>
          <w:rFonts w:ascii="Times New Roman" w:hAnsi="Times New Roman"/>
          <w:sz w:val="24"/>
          <w:szCs w:val="24"/>
          <w:shd w:val="clear" w:color="auto" w:fill="FFFFFF"/>
          <w:lang w:val="sq-AL"/>
        </w:rPr>
        <w:t>. Benoit Chamouard, Qendr</w:t>
      </w:r>
      <w:r>
        <w:rPr>
          <w:rFonts w:ascii="Times New Roman" w:hAnsi="Times New Roman"/>
          <w:sz w:val="24"/>
          <w:szCs w:val="24"/>
          <w:shd w:val="clear" w:color="auto" w:fill="FFFFFF"/>
          <w:lang w:val="sq-AL"/>
        </w:rPr>
        <w:t>ës së Trajnimit Gjyqësor të Holandës, znj</w:t>
      </w:r>
      <w:r w:rsidRPr="00EE2DE7">
        <w:rPr>
          <w:rFonts w:ascii="Times New Roman" w:hAnsi="Times New Roman"/>
          <w:sz w:val="24"/>
          <w:szCs w:val="24"/>
          <w:shd w:val="clear" w:color="auto" w:fill="FFFFFF"/>
          <w:lang w:val="sq-AL"/>
        </w:rPr>
        <w:t xml:space="preserve">. Anne Tahapary, si dhe përfaqësuesit e Akademisë së Drejtësisë të Turqisë,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xml:space="preserve">. Gokhan Karakose dhe </w:t>
      </w:r>
      <w:r>
        <w:rPr>
          <w:rFonts w:ascii="Times New Roman" w:hAnsi="Times New Roman"/>
          <w:sz w:val="24"/>
          <w:szCs w:val="24"/>
          <w:shd w:val="clear" w:color="auto" w:fill="FFFFFF"/>
          <w:lang w:val="sq-AL"/>
        </w:rPr>
        <w:t>z</w:t>
      </w:r>
      <w:r w:rsidRPr="00EE2DE7">
        <w:rPr>
          <w:rFonts w:ascii="Times New Roman" w:hAnsi="Times New Roman"/>
          <w:sz w:val="24"/>
          <w:szCs w:val="24"/>
          <w:shd w:val="clear" w:color="auto" w:fill="FFFFFF"/>
          <w:lang w:val="sq-AL"/>
        </w:rPr>
        <w:t>. Berat Duman. </w:t>
      </w:r>
    </w:p>
    <w:p w:rsidR="00D77236" w:rsidRDefault="00D77236" w:rsidP="00D77236">
      <w:pPr>
        <w:pStyle w:val="NoSpacing"/>
        <w:spacing w:line="276" w:lineRule="auto"/>
        <w:ind w:firstLine="720"/>
        <w:jc w:val="both"/>
        <w:rPr>
          <w:rFonts w:ascii="Times New Roman" w:hAnsi="Times New Roman"/>
          <w:sz w:val="24"/>
          <w:szCs w:val="24"/>
          <w:lang w:val="sq-AL"/>
        </w:rPr>
      </w:pPr>
      <w:r>
        <w:rPr>
          <w:rFonts w:ascii="Times New Roman" w:hAnsi="Times New Roman"/>
          <w:noProof/>
          <w:sz w:val="24"/>
          <w:szCs w:val="24"/>
        </w:rPr>
        <w:drawing>
          <wp:anchor distT="0" distB="0" distL="114300" distR="114300" simplePos="0" relativeHeight="251738624" behindDoc="0" locked="0" layoutInCell="1" allowOverlap="1">
            <wp:simplePos x="0" y="0"/>
            <wp:positionH relativeFrom="margin">
              <wp:posOffset>60960</wp:posOffset>
            </wp:positionH>
            <wp:positionV relativeFrom="margin">
              <wp:posOffset>1924050</wp:posOffset>
            </wp:positionV>
            <wp:extent cx="4575810" cy="2484120"/>
            <wp:effectExtent l="19050" t="0" r="0" b="0"/>
            <wp:wrapSquare wrapText="bothSides"/>
            <wp:docPr id="43" name="Picture 43" descr="Image may contain: 1 person,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may contain: 1 person, crowd"/>
                    <pic:cNvPicPr>
                      <a:picLocks noChangeAspect="1" noChangeArrowheads="1"/>
                    </pic:cNvPicPr>
                  </pic:nvPicPr>
                  <pic:blipFill>
                    <a:blip r:embed="rId29" cstate="print">
                      <a:extLst>
                        <a:ext uri="{28A0092B-C50C-407E-A947-70E740481C1C}">
                          <a14:useLocalDpi xmlns:a14="http://schemas.microsoft.com/office/drawing/2010/main" val="0"/>
                        </a:ext>
                      </a:extLst>
                    </a:blip>
                    <a:srcRect b="4558"/>
                    <a:stretch>
                      <a:fillRect/>
                    </a:stretch>
                  </pic:blipFill>
                  <pic:spPr bwMode="auto">
                    <a:xfrm>
                      <a:off x="0" y="0"/>
                      <a:ext cx="4575810" cy="2484120"/>
                    </a:xfrm>
                    <a:prstGeom prst="rect">
                      <a:avLst/>
                    </a:prstGeom>
                    <a:noFill/>
                    <a:ln>
                      <a:noFill/>
                    </a:ln>
                  </pic:spPr>
                </pic:pic>
              </a:graphicData>
            </a:graphic>
          </wp:anchor>
        </w:drawing>
      </w:r>
      <w:r w:rsidRPr="00EE2DE7">
        <w:rPr>
          <w:rFonts w:ascii="Times New Roman" w:hAnsi="Times New Roman"/>
          <w:sz w:val="24"/>
          <w:szCs w:val="24"/>
          <w:shd w:val="clear" w:color="auto" w:fill="FFFFFF"/>
          <w:lang w:val="sq-AL"/>
        </w:rPr>
        <w:t>Aktiviteti u zhvillua me dy komponentë, ceremonia e përshëndetjeve për 20 vitet e funksionimit të Shkollës dhe një konferencë shkencore ndërkombëtare “</w:t>
      </w:r>
      <w:r w:rsidRPr="00403656">
        <w:rPr>
          <w:rFonts w:ascii="Times New Roman" w:hAnsi="Times New Roman"/>
          <w:i/>
          <w:sz w:val="24"/>
          <w:szCs w:val="24"/>
          <w:shd w:val="clear" w:color="auto" w:fill="FFFFFF"/>
          <w:lang w:val="sq-AL"/>
        </w:rPr>
        <w:t xml:space="preserve">Magjistratura në </w:t>
      </w:r>
      <w:r>
        <w:rPr>
          <w:rFonts w:ascii="Times New Roman" w:hAnsi="Times New Roman"/>
          <w:i/>
          <w:sz w:val="24"/>
          <w:szCs w:val="24"/>
          <w:shd w:val="clear" w:color="auto" w:fill="FFFFFF"/>
          <w:lang w:val="sq-AL"/>
        </w:rPr>
        <w:t>p</w:t>
      </w:r>
      <w:r w:rsidRPr="00403656">
        <w:rPr>
          <w:rFonts w:ascii="Times New Roman" w:hAnsi="Times New Roman"/>
          <w:i/>
          <w:sz w:val="24"/>
          <w:szCs w:val="24"/>
          <w:shd w:val="clear" w:color="auto" w:fill="FFFFFF"/>
          <w:lang w:val="sq-AL"/>
        </w:rPr>
        <w:t xml:space="preserve">erspektivën </w:t>
      </w:r>
      <w:r>
        <w:rPr>
          <w:rFonts w:ascii="Times New Roman" w:hAnsi="Times New Roman"/>
          <w:i/>
          <w:sz w:val="24"/>
          <w:szCs w:val="24"/>
          <w:shd w:val="clear" w:color="auto" w:fill="FFFFFF"/>
          <w:lang w:val="sq-AL"/>
        </w:rPr>
        <w:t>eu</w:t>
      </w:r>
      <w:r w:rsidRPr="00403656">
        <w:rPr>
          <w:rFonts w:ascii="Times New Roman" w:hAnsi="Times New Roman"/>
          <w:i/>
          <w:sz w:val="24"/>
          <w:szCs w:val="24"/>
          <w:shd w:val="clear" w:color="auto" w:fill="FFFFFF"/>
          <w:lang w:val="sq-AL"/>
        </w:rPr>
        <w:t>ropiane</w:t>
      </w:r>
      <w:r w:rsidRPr="00EE2DE7">
        <w:rPr>
          <w:rFonts w:ascii="Times New Roman" w:hAnsi="Times New Roman"/>
          <w:sz w:val="24"/>
          <w:szCs w:val="24"/>
          <w:shd w:val="clear" w:color="auto" w:fill="FFFFFF"/>
          <w:lang w:val="sq-AL"/>
        </w:rPr>
        <w:t>” e ndarë në dy panele. Paneli i parë pati si temë: “</w:t>
      </w:r>
      <w:r w:rsidRPr="00403656">
        <w:rPr>
          <w:rFonts w:ascii="Times New Roman" w:hAnsi="Times New Roman"/>
          <w:i/>
          <w:sz w:val="24"/>
          <w:szCs w:val="24"/>
          <w:shd w:val="clear" w:color="auto" w:fill="FFFFFF"/>
          <w:lang w:val="sq-AL"/>
        </w:rPr>
        <w:t>Bashkëpunimi ndërkombëtar në rritjen e kapaciteteve dhe ngritjen institucionale të sistemit të drejtësisë. Roli i Shkollave të Magjistraturës në perspektivën e</w:t>
      </w:r>
      <w:r>
        <w:rPr>
          <w:rFonts w:ascii="Times New Roman" w:hAnsi="Times New Roman"/>
          <w:i/>
          <w:sz w:val="24"/>
          <w:szCs w:val="24"/>
          <w:shd w:val="clear" w:color="auto" w:fill="FFFFFF"/>
          <w:lang w:val="sq-AL"/>
        </w:rPr>
        <w:t>ur</w:t>
      </w:r>
      <w:r w:rsidRPr="00403656">
        <w:rPr>
          <w:rFonts w:ascii="Times New Roman" w:hAnsi="Times New Roman"/>
          <w:i/>
          <w:sz w:val="24"/>
          <w:szCs w:val="24"/>
          <w:shd w:val="clear" w:color="auto" w:fill="FFFFFF"/>
          <w:lang w:val="sq-AL"/>
        </w:rPr>
        <w:t>opiane</w:t>
      </w:r>
      <w:r w:rsidRPr="00EE2DE7">
        <w:rPr>
          <w:rFonts w:ascii="Times New Roman" w:hAnsi="Times New Roman"/>
          <w:sz w:val="24"/>
          <w:szCs w:val="24"/>
          <w:shd w:val="clear" w:color="auto" w:fill="FFFFFF"/>
          <w:lang w:val="sq-AL"/>
        </w:rPr>
        <w:t>”, ndërsa paneli i dytë, temën: “</w:t>
      </w:r>
      <w:r w:rsidRPr="00403656">
        <w:rPr>
          <w:rFonts w:ascii="Times New Roman" w:hAnsi="Times New Roman"/>
          <w:i/>
          <w:sz w:val="24"/>
          <w:szCs w:val="24"/>
          <w:shd w:val="clear" w:color="auto" w:fill="FFFFFF"/>
          <w:lang w:val="sq-AL"/>
        </w:rPr>
        <w:t>Roli i magjistratit në rritjen e cilësisë dhe eficencës së drejtësisë. Pozita para dhe pas ndryshimeve kushtetuese dhe ligjore</w:t>
      </w:r>
      <w:r w:rsidRPr="00EE2DE7">
        <w:rPr>
          <w:rFonts w:ascii="Times New Roman" w:hAnsi="Times New Roman"/>
          <w:sz w:val="24"/>
          <w:szCs w:val="24"/>
          <w:shd w:val="clear" w:color="auto" w:fill="FFFFFF"/>
          <w:lang w:val="sq-AL"/>
        </w:rPr>
        <w:t>”. </w:t>
      </w:r>
    </w:p>
    <w:p w:rsidR="00D77236" w:rsidRPr="00EE2DE7" w:rsidRDefault="00D77236" w:rsidP="00D77236">
      <w:pPr>
        <w:pStyle w:val="NoSpacing"/>
        <w:spacing w:line="276" w:lineRule="auto"/>
        <w:ind w:firstLine="720"/>
        <w:jc w:val="both"/>
        <w:rPr>
          <w:rFonts w:ascii="Times New Roman" w:hAnsi="Times New Roman"/>
          <w:sz w:val="24"/>
          <w:szCs w:val="24"/>
          <w:shd w:val="clear" w:color="auto" w:fill="FFFFFF"/>
          <w:lang w:val="sq-AL"/>
        </w:rPr>
      </w:pPr>
      <w:r w:rsidRPr="00EE2DE7">
        <w:rPr>
          <w:rFonts w:ascii="Times New Roman" w:hAnsi="Times New Roman"/>
          <w:sz w:val="24"/>
          <w:szCs w:val="24"/>
          <w:shd w:val="clear" w:color="auto" w:fill="FFFFFF"/>
          <w:lang w:val="sq-AL"/>
        </w:rPr>
        <w:t xml:space="preserve">Pjesëmarrja në panelin e parë </w:t>
      </w:r>
      <w:r>
        <w:rPr>
          <w:rFonts w:ascii="Times New Roman" w:hAnsi="Times New Roman"/>
          <w:sz w:val="24"/>
          <w:szCs w:val="24"/>
          <w:shd w:val="clear" w:color="auto" w:fill="FFFFFF"/>
          <w:lang w:val="sq-AL"/>
        </w:rPr>
        <w:t>të</w:t>
      </w:r>
      <w:r w:rsidRPr="00EE2DE7">
        <w:rPr>
          <w:rFonts w:ascii="Times New Roman" w:hAnsi="Times New Roman"/>
          <w:sz w:val="24"/>
          <w:szCs w:val="24"/>
          <w:shd w:val="clear" w:color="auto" w:fill="FFFFFF"/>
          <w:lang w:val="sq-AL"/>
        </w:rPr>
        <w:t xml:space="preserve"> institucioneve të trajnimit gjyqësor të rajonit synoi të përcjellë frymën e bashkëpunimit me të gjitha vendet në rajon në dhënien e përvojave individuale dhe ndarjen e të ardhmes së përbashkët </w:t>
      </w:r>
      <w:r>
        <w:rPr>
          <w:rFonts w:ascii="Times New Roman" w:hAnsi="Times New Roman"/>
          <w:sz w:val="24"/>
          <w:szCs w:val="24"/>
          <w:shd w:val="clear" w:color="auto" w:fill="FFFFFF"/>
          <w:lang w:val="sq-AL"/>
        </w:rPr>
        <w:t>eu</w:t>
      </w:r>
      <w:r w:rsidRPr="00EE2DE7">
        <w:rPr>
          <w:rFonts w:ascii="Times New Roman" w:hAnsi="Times New Roman"/>
          <w:sz w:val="24"/>
          <w:szCs w:val="24"/>
          <w:shd w:val="clear" w:color="auto" w:fill="FFFFFF"/>
          <w:lang w:val="sq-AL"/>
        </w:rPr>
        <w:t>ropiane.</w:t>
      </w:r>
    </w:p>
    <w:p w:rsidR="00D77236" w:rsidRPr="002737A9" w:rsidRDefault="00D77236" w:rsidP="002737A9">
      <w:pPr>
        <w:pStyle w:val="NoSpacing"/>
        <w:spacing w:line="276" w:lineRule="auto"/>
        <w:jc w:val="both"/>
        <w:rPr>
          <w:rFonts w:ascii="Times New Roman" w:hAnsi="Times New Roman"/>
          <w:b/>
          <w:color w:val="0070C0"/>
          <w:sz w:val="24"/>
          <w:szCs w:val="24"/>
          <w:shd w:val="clear" w:color="auto" w:fill="FFFFFF"/>
          <w:lang w:val="sq-AL"/>
        </w:rPr>
      </w:pPr>
    </w:p>
    <w:p w:rsidR="00B3782C" w:rsidRPr="002737A9" w:rsidRDefault="00B3782C" w:rsidP="005C2687">
      <w:pPr>
        <w:pStyle w:val="NoSpacing"/>
        <w:numPr>
          <w:ilvl w:val="0"/>
          <w:numId w:val="36"/>
        </w:numPr>
        <w:spacing w:line="276" w:lineRule="auto"/>
        <w:jc w:val="both"/>
        <w:rPr>
          <w:rFonts w:ascii="Times New Roman" w:hAnsi="Times New Roman"/>
          <w:b/>
          <w:color w:val="0070C0"/>
          <w:sz w:val="24"/>
          <w:szCs w:val="24"/>
          <w:shd w:val="clear" w:color="auto" w:fill="FFFFFF"/>
          <w:lang w:val="sq-AL"/>
        </w:rPr>
      </w:pPr>
      <w:r w:rsidRPr="002737A9">
        <w:rPr>
          <w:rFonts w:ascii="Times New Roman" w:hAnsi="Times New Roman"/>
          <w:b/>
          <w:color w:val="0070C0"/>
          <w:sz w:val="24"/>
          <w:szCs w:val="24"/>
          <w:shd w:val="clear" w:color="auto" w:fill="FFFFFF"/>
          <w:lang w:val="sq-AL"/>
        </w:rPr>
        <w:t>Vizita studimore në Akademinë e Drejtësisë së Turqisë, 16-20 tetor 2017</w:t>
      </w:r>
    </w:p>
    <w:p w:rsidR="00B3782C" w:rsidRPr="00EE2DE7" w:rsidRDefault="00755BAF" w:rsidP="00B3782C">
      <w:pPr>
        <w:pStyle w:val="NoSpacing"/>
        <w:jc w:val="center"/>
        <w:rPr>
          <w:rFonts w:ascii="Times New Roman" w:hAnsi="Times New Roman"/>
          <w:b/>
          <w:sz w:val="24"/>
          <w:szCs w:val="24"/>
          <w:lang w:val="sq-AL"/>
        </w:rPr>
      </w:pPr>
      <w:r>
        <w:rPr>
          <w:rFonts w:ascii="Times New Roman" w:hAnsi="Times New Roman"/>
          <w:b/>
          <w:noProof/>
          <w:sz w:val="24"/>
          <w:szCs w:val="24"/>
        </w:rPr>
        <w:drawing>
          <wp:anchor distT="0" distB="0" distL="114300" distR="114300" simplePos="0" relativeHeight="251739648" behindDoc="0" locked="0" layoutInCell="1" allowOverlap="1">
            <wp:simplePos x="0" y="0"/>
            <wp:positionH relativeFrom="margin">
              <wp:align>right</wp:align>
            </wp:positionH>
            <wp:positionV relativeFrom="margin">
              <wp:posOffset>5932170</wp:posOffset>
            </wp:positionV>
            <wp:extent cx="4522470" cy="2311400"/>
            <wp:effectExtent l="19050" t="0" r="0" b="0"/>
            <wp:wrapSquare wrapText="bothSides"/>
            <wp:docPr id="44" name="Picture 44" descr="Image may contain: 7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may contain: 7 people, people smiling, people standing"/>
                    <pic:cNvPicPr>
                      <a:picLocks noChangeAspect="1" noChangeArrowheads="1"/>
                    </pic:cNvPicPr>
                  </pic:nvPicPr>
                  <pic:blipFill>
                    <a:blip r:embed="rId30" cstate="print">
                      <a:extLst>
                        <a:ext uri="{28A0092B-C50C-407E-A947-70E740481C1C}">
                          <a14:useLocalDpi xmlns:a14="http://schemas.microsoft.com/office/drawing/2010/main" val="0"/>
                        </a:ext>
                      </a:extLst>
                    </a:blip>
                    <a:srcRect l="4221" t="5483" r="9623" b="11335"/>
                    <a:stretch>
                      <a:fillRect/>
                    </a:stretch>
                  </pic:blipFill>
                  <pic:spPr bwMode="auto">
                    <a:xfrm>
                      <a:off x="0" y="0"/>
                      <a:ext cx="4522470" cy="2311400"/>
                    </a:xfrm>
                    <a:prstGeom prst="rect">
                      <a:avLst/>
                    </a:prstGeom>
                    <a:noFill/>
                    <a:ln>
                      <a:noFill/>
                    </a:ln>
                  </pic:spPr>
                </pic:pic>
              </a:graphicData>
            </a:graphic>
          </wp:anchor>
        </w:drawing>
      </w:r>
    </w:p>
    <w:p w:rsidR="00B3782C" w:rsidRDefault="00B3782C" w:rsidP="00B3782C">
      <w:pPr>
        <w:pStyle w:val="NoSpacing"/>
        <w:spacing w:line="276" w:lineRule="auto"/>
        <w:jc w:val="both"/>
        <w:rPr>
          <w:rStyle w:val="textexposedshow"/>
          <w:rFonts w:ascii="Times New Roman" w:hAnsi="Times New Roman"/>
          <w:color w:val="1D2129"/>
          <w:sz w:val="24"/>
          <w:szCs w:val="24"/>
          <w:lang w:val="sq-AL"/>
        </w:rPr>
      </w:pPr>
      <w:r w:rsidRPr="00EE2DE7">
        <w:rPr>
          <w:rFonts w:ascii="Times New Roman" w:hAnsi="Times New Roman"/>
          <w:sz w:val="24"/>
          <w:szCs w:val="24"/>
          <w:lang w:val="sq-AL"/>
        </w:rPr>
        <w:t xml:space="preserve">Në kuadër të bashkëpunimit me Akademinë e Drejtësisë të Turqisë, u zhvillua një vizitë trajnimi në </w:t>
      </w:r>
      <w:r w:rsidRPr="003F3013">
        <w:rPr>
          <w:rFonts w:ascii="Times New Roman" w:hAnsi="Times New Roman"/>
          <w:sz w:val="24"/>
          <w:szCs w:val="24"/>
          <w:lang w:val="sq-AL"/>
        </w:rPr>
        <w:t>Tu</w:t>
      </w:r>
      <w:r w:rsidRPr="00EE2DE7">
        <w:rPr>
          <w:rFonts w:ascii="Times New Roman" w:hAnsi="Times New Roman"/>
          <w:sz w:val="24"/>
          <w:szCs w:val="24"/>
          <w:lang w:val="sq-AL"/>
        </w:rPr>
        <w:t>rqi nga një delegacion i Shkollës së Magjistraturës, i përbërë nga anëtarë të Këshillit Drejtues, Pedagogë të Brendshëm dhe kandidatët për magji</w:t>
      </w:r>
      <w:r>
        <w:rPr>
          <w:rFonts w:ascii="Times New Roman" w:hAnsi="Times New Roman"/>
          <w:sz w:val="24"/>
          <w:szCs w:val="24"/>
          <w:lang w:val="sq-AL"/>
        </w:rPr>
        <w:t xml:space="preserve">stratë të vitit të dytë të saj. </w:t>
      </w:r>
      <w:r w:rsidRPr="00EE2DE7">
        <w:rPr>
          <w:rFonts w:ascii="Times New Roman" w:hAnsi="Times New Roman"/>
          <w:sz w:val="24"/>
          <w:szCs w:val="24"/>
          <w:lang w:val="sq-AL"/>
        </w:rPr>
        <w:t xml:space="preserve">Vizita u realizua në formën e një </w:t>
      </w:r>
      <w:r w:rsidRPr="00EE2DE7">
        <w:rPr>
          <w:rFonts w:ascii="Times New Roman" w:hAnsi="Times New Roman"/>
          <w:sz w:val="24"/>
          <w:szCs w:val="24"/>
          <w:lang w:val="sq-AL"/>
        </w:rPr>
        <w:lastRenderedPageBreak/>
        <w:t>sesion trajnues në lidhje me luftën kundër krimit të organizuar, që u pasua nga vizita/takime në</w:t>
      </w:r>
      <w:r w:rsidRPr="00EE2DE7">
        <w:rPr>
          <w:rStyle w:val="textexposedshow"/>
          <w:rFonts w:ascii="Times New Roman" w:hAnsi="Times New Roman"/>
          <w:color w:val="1D2129"/>
          <w:sz w:val="24"/>
          <w:szCs w:val="24"/>
          <w:lang w:val="sq-AL"/>
        </w:rPr>
        <w:t xml:space="preserve"> institucionet kryesore të drejtësisë së Turqisë. Gjatë trajnimit kandidatët morën informacion në lidhje me organizimin dhe funksionimin e sistemit të drejtësisë dhe të institucioneve të ndryshme, si dhe u trajtuan tematika si: detyrat dhe kompetencat e autoriteteve ligjzbatuese në luftën kundër krimit të organizuar, masat mbrojtëse që aplikohen </w:t>
      </w:r>
      <w:r w:rsidRPr="003F3013">
        <w:rPr>
          <w:rStyle w:val="textexposedshow"/>
          <w:rFonts w:ascii="Times New Roman" w:hAnsi="Times New Roman"/>
          <w:sz w:val="24"/>
          <w:szCs w:val="24"/>
          <w:lang w:val="sq-AL"/>
        </w:rPr>
        <w:t>në çështjet</w:t>
      </w:r>
      <w:r w:rsidRPr="00EE2DE7">
        <w:rPr>
          <w:rStyle w:val="textexposedshow"/>
          <w:rFonts w:ascii="Times New Roman" w:hAnsi="Times New Roman"/>
          <w:color w:val="1D2129"/>
          <w:sz w:val="24"/>
          <w:szCs w:val="24"/>
          <w:lang w:val="sq-AL"/>
        </w:rPr>
        <w:t xml:space="preserve"> përkatëse, ndjekja ligjore, menaxhimi i procesit gjyqësor dhe </w:t>
      </w:r>
      <w:r>
        <w:rPr>
          <w:rStyle w:val="textexposedshow"/>
          <w:rFonts w:ascii="Times New Roman" w:hAnsi="Times New Roman"/>
          <w:color w:val="1D2129"/>
          <w:sz w:val="24"/>
          <w:szCs w:val="24"/>
          <w:lang w:val="sq-AL"/>
        </w:rPr>
        <w:t>vlerësimi i provave nga gjykata</w:t>
      </w:r>
      <w:r w:rsidRPr="00EE2DE7">
        <w:rPr>
          <w:rStyle w:val="textexposedshow"/>
          <w:rFonts w:ascii="Times New Roman" w:hAnsi="Times New Roman"/>
          <w:color w:val="1D2129"/>
          <w:sz w:val="24"/>
          <w:szCs w:val="24"/>
          <w:lang w:val="sq-AL"/>
        </w:rPr>
        <w:t xml:space="preserve"> etj. Vizita u mbyll me aktivitete kulturore në qytetin e Stambollit.</w:t>
      </w:r>
    </w:p>
    <w:p w:rsidR="00B3782C" w:rsidRPr="00EE2DE7" w:rsidRDefault="00B3782C" w:rsidP="00B3782C">
      <w:pPr>
        <w:pStyle w:val="NoSpacing"/>
        <w:spacing w:line="276" w:lineRule="auto"/>
        <w:jc w:val="both"/>
        <w:rPr>
          <w:rStyle w:val="textexposedshow"/>
          <w:rFonts w:ascii="Times New Roman" w:hAnsi="Times New Roman"/>
          <w:color w:val="1D2129"/>
          <w:sz w:val="24"/>
          <w:szCs w:val="24"/>
          <w:lang w:val="sq-AL"/>
        </w:rPr>
      </w:pPr>
    </w:p>
    <w:p w:rsidR="00B3782C" w:rsidRPr="00B3782C" w:rsidRDefault="00B3782C" w:rsidP="005C2687">
      <w:pPr>
        <w:pStyle w:val="NoSpacing"/>
        <w:numPr>
          <w:ilvl w:val="0"/>
          <w:numId w:val="36"/>
        </w:numPr>
        <w:rPr>
          <w:rFonts w:ascii="Times New Roman" w:hAnsi="Times New Roman"/>
          <w:color w:val="0070C0"/>
          <w:sz w:val="24"/>
          <w:szCs w:val="24"/>
          <w:lang w:val="sq-AL"/>
        </w:rPr>
      </w:pPr>
      <w:r w:rsidRPr="007F5F77">
        <w:rPr>
          <w:rFonts w:ascii="Times New Roman" w:hAnsi="Times New Roman"/>
          <w:b/>
          <w:color w:val="0070C0"/>
          <w:sz w:val="24"/>
          <w:szCs w:val="24"/>
          <w:lang w:val="sq-AL"/>
        </w:rPr>
        <w:t>Vizitë studimore e kandidatëve për magjistratë në GJEDNJ, Strasburg</w:t>
      </w:r>
      <w:r>
        <w:rPr>
          <w:rFonts w:ascii="Times New Roman" w:hAnsi="Times New Roman"/>
          <w:color w:val="0070C0"/>
          <w:sz w:val="24"/>
          <w:szCs w:val="24"/>
          <w:lang w:val="sq-AL"/>
        </w:rPr>
        <w:t xml:space="preserve">, </w:t>
      </w:r>
      <w:r w:rsidRPr="007F5F77">
        <w:rPr>
          <w:rFonts w:ascii="Times New Roman" w:hAnsi="Times New Roman"/>
          <w:b/>
          <w:color w:val="0070C0"/>
          <w:sz w:val="24"/>
          <w:szCs w:val="24"/>
          <w:lang w:val="sq-AL"/>
        </w:rPr>
        <w:t>4-7 dhjetor 2017</w:t>
      </w:r>
    </w:p>
    <w:p w:rsidR="00B3782C" w:rsidRPr="00EE2DE7" w:rsidRDefault="00B3782C" w:rsidP="00B3782C">
      <w:pPr>
        <w:pStyle w:val="NoSpacing"/>
        <w:jc w:val="center"/>
        <w:rPr>
          <w:rFonts w:ascii="Times New Roman" w:hAnsi="Times New Roman"/>
          <w:b/>
          <w:sz w:val="24"/>
          <w:szCs w:val="24"/>
          <w:lang w:val="sq-AL"/>
        </w:rPr>
      </w:pPr>
    </w:p>
    <w:p w:rsidR="00B3782C" w:rsidRPr="00A06BA5" w:rsidRDefault="00B3782C" w:rsidP="002737A9">
      <w:pPr>
        <w:pStyle w:val="NoSpacing"/>
        <w:spacing w:line="276" w:lineRule="auto"/>
        <w:jc w:val="both"/>
        <w:rPr>
          <w:rFonts w:ascii="Times New Roman" w:hAnsi="Times New Roman"/>
          <w:sz w:val="24"/>
          <w:szCs w:val="24"/>
          <w:lang w:val="sq-AL"/>
        </w:rPr>
      </w:pPr>
      <w:r w:rsidRPr="00EE2DE7">
        <w:rPr>
          <w:rFonts w:ascii="Times New Roman" w:hAnsi="Times New Roman"/>
          <w:sz w:val="24"/>
          <w:szCs w:val="24"/>
          <w:lang w:val="sq-AL"/>
        </w:rPr>
        <w:t xml:space="preserve">Në kuadër të bashkëpunimit me Këshillin e </w:t>
      </w:r>
      <w:r w:rsidRPr="00A06BA5">
        <w:rPr>
          <w:rFonts w:ascii="Times New Roman" w:hAnsi="Times New Roman"/>
          <w:sz w:val="24"/>
          <w:szCs w:val="24"/>
          <w:lang w:val="sq-AL"/>
        </w:rPr>
        <w:t xml:space="preserve">Europës dhe Fondacionin </w:t>
      </w:r>
      <w:r w:rsidRPr="00A06BA5">
        <w:rPr>
          <w:rFonts w:ascii="Times New Roman" w:hAnsi="Times New Roman"/>
          <w:i/>
          <w:sz w:val="24"/>
          <w:szCs w:val="24"/>
          <w:lang w:val="sq-AL"/>
        </w:rPr>
        <w:t>Hanns Seidel</w:t>
      </w:r>
      <w:r w:rsidRPr="00A06BA5">
        <w:rPr>
          <w:rFonts w:ascii="Times New Roman" w:hAnsi="Times New Roman"/>
          <w:sz w:val="24"/>
          <w:szCs w:val="24"/>
          <w:lang w:val="sq-AL"/>
        </w:rPr>
        <w:t>, Shkolla e Magjistraturës organizoi një vizitë studimore për kandidatët për magjistratë të vitit të dytë në Gjykatën Europiane të të Drejtave të Njeriut dhe institucione të ndryshme të BE-së gjatë datave 4-7 dhjetor 2017.</w:t>
      </w:r>
    </w:p>
    <w:p w:rsidR="00B3782C" w:rsidRPr="001D6AC5" w:rsidRDefault="002737A9" w:rsidP="00B3782C">
      <w:pPr>
        <w:pStyle w:val="NoSpacing"/>
        <w:spacing w:line="276" w:lineRule="auto"/>
        <w:ind w:firstLine="720"/>
        <w:jc w:val="both"/>
        <w:rPr>
          <w:rFonts w:ascii="Times New Roman" w:hAnsi="Times New Roman"/>
          <w:sz w:val="24"/>
          <w:szCs w:val="24"/>
          <w:lang w:val="sq-AL"/>
        </w:rPr>
      </w:pPr>
      <w:r>
        <w:rPr>
          <w:rFonts w:ascii="Times New Roman" w:hAnsi="Times New Roman"/>
          <w:noProof/>
          <w:sz w:val="24"/>
          <w:szCs w:val="24"/>
        </w:rPr>
        <w:drawing>
          <wp:anchor distT="0" distB="0" distL="114300" distR="114300" simplePos="0" relativeHeight="251740672" behindDoc="0" locked="0" layoutInCell="1" allowOverlap="1">
            <wp:simplePos x="0" y="0"/>
            <wp:positionH relativeFrom="margin">
              <wp:align>left</wp:align>
            </wp:positionH>
            <wp:positionV relativeFrom="margin">
              <wp:align>center</wp:align>
            </wp:positionV>
            <wp:extent cx="4410710" cy="2369820"/>
            <wp:effectExtent l="19050" t="0" r="8890" b="0"/>
            <wp:wrapSquare wrapText="bothSides"/>
            <wp:docPr id="45" name="Picture 45" descr="Image may contain: 3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may contain: 3 people, indoor"/>
                    <pic:cNvPicPr>
                      <a:picLocks noChangeAspect="1" noChangeArrowheads="1"/>
                    </pic:cNvPicPr>
                  </pic:nvPicPr>
                  <pic:blipFill>
                    <a:blip r:embed="rId31" cstate="print">
                      <a:lum bright="10000"/>
                      <a:extLst>
                        <a:ext uri="{28A0092B-C50C-407E-A947-70E740481C1C}">
                          <a14:useLocalDpi xmlns:a14="http://schemas.microsoft.com/office/drawing/2010/main" val="0"/>
                        </a:ext>
                      </a:extLst>
                    </a:blip>
                    <a:srcRect t="18304" b="9976"/>
                    <a:stretch>
                      <a:fillRect/>
                    </a:stretch>
                  </pic:blipFill>
                  <pic:spPr bwMode="auto">
                    <a:xfrm>
                      <a:off x="0" y="0"/>
                      <a:ext cx="4410710" cy="2369820"/>
                    </a:xfrm>
                    <a:prstGeom prst="rect">
                      <a:avLst/>
                    </a:prstGeom>
                    <a:noFill/>
                    <a:ln>
                      <a:noFill/>
                    </a:ln>
                  </pic:spPr>
                </pic:pic>
              </a:graphicData>
            </a:graphic>
          </wp:anchor>
        </w:drawing>
      </w:r>
      <w:r w:rsidR="00B3782C" w:rsidRPr="00A06BA5">
        <w:rPr>
          <w:rFonts w:ascii="Times New Roman" w:hAnsi="Times New Roman"/>
          <w:sz w:val="24"/>
          <w:szCs w:val="24"/>
          <w:lang w:val="sq-AL"/>
        </w:rPr>
        <w:t>Gjatë vizitës dhe takimeve që u zhvilluan në kuadër të saj, u vizituan Gjykata Europi</w:t>
      </w:r>
      <w:r w:rsidR="00B3782C" w:rsidRPr="00A06BA5">
        <w:rPr>
          <w:rStyle w:val="textexposedshow"/>
          <w:rFonts w:ascii="Times New Roman" w:hAnsi="Times New Roman"/>
          <w:sz w:val="24"/>
          <w:szCs w:val="24"/>
          <w:lang w:val="sq-AL"/>
        </w:rPr>
        <w:t xml:space="preserve">ane e të Drejtave të Njeriut, ku u zhvilluan edhe takime të ndryshme me gjyqtarë të gjykatës, këshilltarët juridik të tyre, por u mor pjesë edhe në seancën e Dhomës së Madhe për çështjen </w:t>
      </w:r>
      <w:r w:rsidR="00B3782C" w:rsidRPr="00A06BA5">
        <w:rPr>
          <w:rStyle w:val="textexposedshow"/>
          <w:rFonts w:ascii="Times New Roman" w:hAnsi="Times New Roman"/>
          <w:i/>
          <w:sz w:val="24"/>
          <w:szCs w:val="24"/>
          <w:lang w:val="sq-AL"/>
        </w:rPr>
        <w:t>Molla kundër Greqisë</w:t>
      </w:r>
      <w:r w:rsidR="00B3782C" w:rsidRPr="00A06BA5">
        <w:rPr>
          <w:rStyle w:val="textexposedshow"/>
          <w:rFonts w:ascii="Times New Roman" w:hAnsi="Times New Roman"/>
          <w:sz w:val="24"/>
          <w:szCs w:val="24"/>
          <w:lang w:val="sq-AL"/>
        </w:rPr>
        <w:t>. Njëkohësisht delegacioni nga Shkolla vizitoi Parlamentin Europian dhe Këshillin e Europës ku u njoh me funksionimin, organizimin dhe përbërjen e secilit institucion</w:t>
      </w:r>
      <w:r w:rsidR="00B3782C" w:rsidRPr="001D6AC5">
        <w:rPr>
          <w:rStyle w:val="textexposedshow"/>
          <w:rFonts w:ascii="Times New Roman" w:hAnsi="Times New Roman"/>
          <w:sz w:val="24"/>
          <w:szCs w:val="24"/>
          <w:lang w:val="sq-AL"/>
        </w:rPr>
        <w:t>.</w:t>
      </w:r>
    </w:p>
    <w:p w:rsidR="00B3782C" w:rsidRPr="00EE2DE7" w:rsidRDefault="00B3782C" w:rsidP="00B3782C">
      <w:pPr>
        <w:pStyle w:val="NoSpacing"/>
        <w:spacing w:line="276" w:lineRule="auto"/>
        <w:ind w:firstLine="720"/>
        <w:jc w:val="both"/>
        <w:rPr>
          <w:rFonts w:ascii="Times New Roman" w:hAnsi="Times New Roman"/>
          <w:sz w:val="24"/>
          <w:szCs w:val="24"/>
          <w:lang w:val="sq-AL"/>
        </w:rPr>
      </w:pPr>
      <w:r w:rsidRPr="003F3013">
        <w:rPr>
          <w:rFonts w:ascii="Times New Roman" w:hAnsi="Times New Roman"/>
          <w:sz w:val="24"/>
          <w:szCs w:val="24"/>
          <w:lang w:val="sq-AL"/>
        </w:rPr>
        <w:t>Delegacioni u drejtua nga Kryetari i Gjykatës së Lartë dhe Kryetari i Këshillit Drejtues të Shkollës, z. Xhezair Zaganjori, nga pedagogët, znj. Mariana Semini, z. Artan Hajdari nga znj. Ela Qokaj, Kancelare e Shkollës</w:t>
      </w:r>
      <w:r w:rsidRPr="00EE2DE7">
        <w:rPr>
          <w:rFonts w:ascii="Times New Roman" w:hAnsi="Times New Roman"/>
          <w:sz w:val="24"/>
          <w:szCs w:val="24"/>
          <w:lang w:val="sq-AL"/>
        </w:rPr>
        <w:t xml:space="preserve"> dhe nga kandidatët për magjistratë të vitit të dytë.</w:t>
      </w:r>
    </w:p>
    <w:p w:rsidR="002737A9" w:rsidRDefault="002737A9" w:rsidP="002737A9">
      <w:pPr>
        <w:pStyle w:val="NoSpacing"/>
        <w:rPr>
          <w:rFonts w:ascii="Times New Roman" w:hAnsi="Times New Roman"/>
          <w:b/>
          <w:color w:val="0070C0"/>
          <w:sz w:val="24"/>
          <w:szCs w:val="24"/>
          <w:lang w:val="sq-AL"/>
        </w:rPr>
      </w:pPr>
    </w:p>
    <w:p w:rsidR="002737A9" w:rsidRPr="007F5F77" w:rsidRDefault="002737A9" w:rsidP="005C2687">
      <w:pPr>
        <w:pStyle w:val="NoSpacing"/>
        <w:numPr>
          <w:ilvl w:val="0"/>
          <w:numId w:val="36"/>
        </w:numPr>
        <w:rPr>
          <w:rFonts w:ascii="Times New Roman" w:hAnsi="Times New Roman"/>
          <w:b/>
          <w:color w:val="0070C0"/>
          <w:sz w:val="24"/>
          <w:szCs w:val="24"/>
          <w:lang w:val="sq-AL"/>
        </w:rPr>
      </w:pPr>
      <w:r w:rsidRPr="007F5F77">
        <w:rPr>
          <w:rFonts w:ascii="Times New Roman" w:hAnsi="Times New Roman"/>
          <w:b/>
          <w:color w:val="0070C0"/>
          <w:sz w:val="24"/>
          <w:szCs w:val="24"/>
          <w:lang w:val="sq-AL"/>
        </w:rPr>
        <w:t>Vizita në Strasburg</w:t>
      </w:r>
      <w:r>
        <w:rPr>
          <w:rFonts w:ascii="Times New Roman" w:hAnsi="Times New Roman"/>
          <w:b/>
          <w:color w:val="0070C0"/>
          <w:sz w:val="24"/>
          <w:szCs w:val="24"/>
          <w:lang w:val="sq-AL"/>
        </w:rPr>
        <w:t>,</w:t>
      </w:r>
      <w:r w:rsidRPr="007F5F77">
        <w:rPr>
          <w:rFonts w:ascii="Times New Roman" w:hAnsi="Times New Roman"/>
          <w:b/>
          <w:color w:val="0070C0"/>
          <w:sz w:val="24"/>
          <w:szCs w:val="24"/>
          <w:lang w:val="sq-AL"/>
        </w:rPr>
        <w:t xml:space="preserve"> në KiE dhe në GJEDNJ</w:t>
      </w:r>
      <w:r>
        <w:rPr>
          <w:rFonts w:ascii="Times New Roman" w:hAnsi="Times New Roman"/>
          <w:b/>
          <w:color w:val="0070C0"/>
          <w:sz w:val="24"/>
          <w:szCs w:val="24"/>
          <w:lang w:val="sq-AL"/>
        </w:rPr>
        <w:t xml:space="preserve">. </w:t>
      </w:r>
      <w:r w:rsidRPr="007F5F77">
        <w:rPr>
          <w:rFonts w:ascii="Times New Roman" w:hAnsi="Times New Roman"/>
          <w:b/>
          <w:color w:val="0070C0"/>
          <w:sz w:val="24"/>
          <w:szCs w:val="24"/>
          <w:lang w:val="sq-AL"/>
        </w:rPr>
        <w:t xml:space="preserve">13-14 </w:t>
      </w:r>
      <w:r>
        <w:rPr>
          <w:rFonts w:ascii="Times New Roman" w:hAnsi="Times New Roman"/>
          <w:b/>
          <w:color w:val="0070C0"/>
          <w:sz w:val="24"/>
          <w:szCs w:val="24"/>
          <w:lang w:val="sq-AL"/>
        </w:rPr>
        <w:t>m</w:t>
      </w:r>
      <w:r w:rsidRPr="007F5F77">
        <w:rPr>
          <w:rFonts w:ascii="Times New Roman" w:hAnsi="Times New Roman"/>
          <w:b/>
          <w:color w:val="0070C0"/>
          <w:sz w:val="24"/>
          <w:szCs w:val="24"/>
          <w:lang w:val="sq-AL"/>
        </w:rPr>
        <w:t>ars 2018</w:t>
      </w:r>
    </w:p>
    <w:p w:rsidR="002737A9" w:rsidRPr="00EE2DE7" w:rsidRDefault="002737A9" w:rsidP="002737A9">
      <w:pPr>
        <w:pStyle w:val="NoSpacing"/>
        <w:jc w:val="center"/>
        <w:rPr>
          <w:rFonts w:ascii="Times New Roman" w:hAnsi="Times New Roman"/>
          <w:b/>
          <w:sz w:val="24"/>
          <w:szCs w:val="24"/>
          <w:lang w:val="sq-AL"/>
        </w:rPr>
      </w:pPr>
      <w:r>
        <w:rPr>
          <w:rFonts w:ascii="Times New Roman" w:hAnsi="Times New Roman"/>
          <w:b/>
          <w:noProof/>
          <w:sz w:val="24"/>
          <w:szCs w:val="24"/>
        </w:rPr>
        <w:drawing>
          <wp:anchor distT="0" distB="0" distL="114300" distR="114300" simplePos="0" relativeHeight="251741696" behindDoc="0" locked="0" layoutInCell="1" allowOverlap="1">
            <wp:simplePos x="0" y="0"/>
            <wp:positionH relativeFrom="margin">
              <wp:posOffset>2735580</wp:posOffset>
            </wp:positionH>
            <wp:positionV relativeFrom="margin">
              <wp:posOffset>6313170</wp:posOffset>
            </wp:positionV>
            <wp:extent cx="3897630" cy="2004060"/>
            <wp:effectExtent l="19050" t="0" r="7620" b="0"/>
            <wp:wrapSquare wrapText="bothSides"/>
            <wp:docPr id="46" name="Picture 46" descr="Image may contain: 6 people,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may contain: 6 people, indoor"/>
                    <pic:cNvPicPr>
                      <a:picLocks noChangeAspect="1" noChangeArrowheads="1"/>
                    </pic:cNvPicPr>
                  </pic:nvPicPr>
                  <pic:blipFill>
                    <a:blip r:embed="rId32" cstate="print">
                      <a:extLst>
                        <a:ext uri="{28A0092B-C50C-407E-A947-70E740481C1C}">
                          <a14:useLocalDpi xmlns:a14="http://schemas.microsoft.com/office/drawing/2010/main" val="0"/>
                        </a:ext>
                      </a:extLst>
                    </a:blip>
                    <a:srcRect t="31425"/>
                    <a:stretch>
                      <a:fillRect/>
                    </a:stretch>
                  </pic:blipFill>
                  <pic:spPr bwMode="auto">
                    <a:xfrm>
                      <a:off x="0" y="0"/>
                      <a:ext cx="3897630" cy="2004060"/>
                    </a:xfrm>
                    <a:prstGeom prst="rect">
                      <a:avLst/>
                    </a:prstGeom>
                    <a:noFill/>
                    <a:ln>
                      <a:noFill/>
                    </a:ln>
                  </pic:spPr>
                </pic:pic>
              </a:graphicData>
            </a:graphic>
          </wp:anchor>
        </w:drawing>
      </w:r>
    </w:p>
    <w:p w:rsidR="002737A9" w:rsidRPr="00A06BA5" w:rsidRDefault="002737A9" w:rsidP="002737A9">
      <w:pPr>
        <w:pStyle w:val="NoSpacing"/>
        <w:spacing w:line="276" w:lineRule="auto"/>
        <w:ind w:firstLine="720"/>
        <w:jc w:val="both"/>
        <w:rPr>
          <w:rFonts w:ascii="Times New Roman" w:hAnsi="Times New Roman"/>
          <w:sz w:val="24"/>
          <w:szCs w:val="24"/>
          <w:lang w:val="sq-AL"/>
        </w:rPr>
      </w:pPr>
      <w:r w:rsidRPr="007F5F77">
        <w:rPr>
          <w:rFonts w:ascii="Times New Roman" w:hAnsi="Times New Roman"/>
          <w:sz w:val="24"/>
          <w:szCs w:val="24"/>
          <w:lang w:val="sq-AL"/>
        </w:rPr>
        <w:t xml:space="preserve">Në </w:t>
      </w:r>
      <w:r w:rsidRPr="00A06BA5">
        <w:rPr>
          <w:rFonts w:ascii="Times New Roman" w:hAnsi="Times New Roman"/>
          <w:sz w:val="24"/>
          <w:szCs w:val="24"/>
          <w:lang w:val="sq-AL"/>
        </w:rPr>
        <w:t>kuadër të projektit “</w:t>
      </w:r>
      <w:r w:rsidRPr="00A06BA5">
        <w:rPr>
          <w:rFonts w:ascii="Times New Roman" w:hAnsi="Times New Roman"/>
          <w:i/>
          <w:sz w:val="24"/>
          <w:szCs w:val="24"/>
          <w:lang w:val="sq-AL"/>
        </w:rPr>
        <w:t>Mbështetja e mjeteve efektive të brendshme dhe lehtësimi i ekzekutimit të vendimeve gjyqësore</w:t>
      </w:r>
      <w:r w:rsidRPr="00A06BA5">
        <w:rPr>
          <w:rFonts w:ascii="Times New Roman" w:hAnsi="Times New Roman"/>
          <w:sz w:val="24"/>
          <w:szCs w:val="24"/>
          <w:lang w:val="sq-AL"/>
        </w:rPr>
        <w:t xml:space="preserve">”, që është pjesë e Aksionit Horizontal për Ballkanin Perëndimor dhe Turqinë, rezultat i bashkëpunimit ndërmjet Komisionit Europian dhe Këshillit të Europës, u zhvillua një vizitë studimore gjatë datave 13 dhe </w:t>
      </w:r>
      <w:r>
        <w:rPr>
          <w:rFonts w:ascii="Times New Roman" w:hAnsi="Times New Roman"/>
          <w:sz w:val="24"/>
          <w:szCs w:val="24"/>
          <w:lang w:val="sq-AL"/>
        </w:rPr>
        <w:t xml:space="preserve"> </w:t>
      </w:r>
      <w:r w:rsidRPr="00A06BA5">
        <w:rPr>
          <w:rFonts w:ascii="Times New Roman" w:hAnsi="Times New Roman"/>
          <w:sz w:val="24"/>
          <w:szCs w:val="24"/>
          <w:lang w:val="sq-AL"/>
        </w:rPr>
        <w:t xml:space="preserve">14 mars 2018, nga një përfaqësi e Shkollës së </w:t>
      </w:r>
      <w:r w:rsidRPr="00A06BA5">
        <w:rPr>
          <w:rFonts w:ascii="Times New Roman" w:hAnsi="Times New Roman"/>
          <w:sz w:val="24"/>
          <w:szCs w:val="24"/>
          <w:lang w:val="sq-AL"/>
        </w:rPr>
        <w:lastRenderedPageBreak/>
        <w:t>Magjistraturës në Këshillin e Europës dhe në </w:t>
      </w:r>
      <w:r w:rsidRPr="00A06BA5">
        <w:rPr>
          <w:rStyle w:val="textexposedshow"/>
          <w:rFonts w:ascii="Times New Roman" w:hAnsi="Times New Roman"/>
          <w:sz w:val="24"/>
          <w:szCs w:val="24"/>
          <w:lang w:val="sq-AL"/>
        </w:rPr>
        <w:t>Gjykatën Europiane të të Drejtave të Njeriut.</w:t>
      </w:r>
    </w:p>
    <w:p w:rsidR="002737A9" w:rsidRPr="00A06BA5" w:rsidRDefault="002737A9" w:rsidP="002737A9">
      <w:pPr>
        <w:pStyle w:val="NoSpacing"/>
        <w:spacing w:line="276" w:lineRule="auto"/>
        <w:jc w:val="both"/>
        <w:rPr>
          <w:rStyle w:val="textexposedshow"/>
          <w:rFonts w:ascii="Times New Roman" w:hAnsi="Times New Roman"/>
          <w:sz w:val="24"/>
          <w:szCs w:val="24"/>
          <w:lang w:val="sq-AL"/>
        </w:rPr>
      </w:pPr>
      <w:r w:rsidRPr="00A06BA5">
        <w:rPr>
          <w:rStyle w:val="textexposedshow"/>
          <w:rFonts w:ascii="Times New Roman" w:hAnsi="Times New Roman"/>
          <w:sz w:val="24"/>
          <w:szCs w:val="24"/>
          <w:lang w:val="sq-AL"/>
        </w:rPr>
        <w:t>Vizita konsistoi në zhvillimin e takimeve të ndryshme në këto dy institucione si me gjykatësin përfaqësues të Shqipërisë në GJEDNJ, z. Ledi Bianku dhe përfaqësues të tjerë të të dy institucioneve.</w:t>
      </w:r>
      <w:r w:rsidRPr="00A06BA5">
        <w:rPr>
          <w:rFonts w:ascii="Times New Roman" w:hAnsi="Times New Roman"/>
          <w:sz w:val="24"/>
          <w:szCs w:val="24"/>
          <w:lang w:val="sq-AL"/>
        </w:rPr>
        <w:br/>
      </w:r>
      <w:r w:rsidRPr="00A06BA5">
        <w:rPr>
          <w:rStyle w:val="textexposedshow"/>
          <w:rFonts w:ascii="Times New Roman" w:hAnsi="Times New Roman"/>
          <w:sz w:val="24"/>
          <w:szCs w:val="24"/>
          <w:lang w:val="sq-AL"/>
        </w:rPr>
        <w:t>Çështjet e trajtuara në këtë vizitë gjatë të dy ditëve ishin:</w:t>
      </w:r>
    </w:p>
    <w:p w:rsidR="002737A9" w:rsidRPr="00A06BA5" w:rsidRDefault="002737A9" w:rsidP="005C2687">
      <w:pPr>
        <w:pStyle w:val="NoSpacing"/>
        <w:numPr>
          <w:ilvl w:val="0"/>
          <w:numId w:val="35"/>
        </w:numPr>
        <w:spacing w:line="276" w:lineRule="auto"/>
        <w:jc w:val="both"/>
        <w:rPr>
          <w:rStyle w:val="textexposedshow"/>
          <w:rFonts w:ascii="Times New Roman" w:hAnsi="Times New Roman"/>
          <w:sz w:val="24"/>
          <w:szCs w:val="24"/>
          <w:lang w:val="sq-AL"/>
        </w:rPr>
      </w:pPr>
      <w:r w:rsidRPr="00A06BA5">
        <w:rPr>
          <w:rStyle w:val="textexposedshow"/>
          <w:rFonts w:ascii="Times New Roman" w:hAnsi="Times New Roman"/>
          <w:sz w:val="24"/>
          <w:szCs w:val="24"/>
          <w:lang w:val="sq-AL"/>
        </w:rPr>
        <w:t>Protokolli nr. 16 i KEDNJ-së dhe perspektiva e zbatimit të tij;</w:t>
      </w:r>
    </w:p>
    <w:p w:rsidR="002737A9" w:rsidRPr="00A06BA5" w:rsidRDefault="002737A9" w:rsidP="005C2687">
      <w:pPr>
        <w:pStyle w:val="NoSpacing"/>
        <w:numPr>
          <w:ilvl w:val="0"/>
          <w:numId w:val="35"/>
        </w:numPr>
        <w:spacing w:line="276" w:lineRule="auto"/>
        <w:jc w:val="both"/>
        <w:rPr>
          <w:rStyle w:val="textexposedshow"/>
          <w:rFonts w:ascii="Times New Roman" w:hAnsi="Times New Roman"/>
          <w:sz w:val="24"/>
          <w:szCs w:val="24"/>
          <w:lang w:val="sq-AL"/>
        </w:rPr>
      </w:pPr>
      <w:r w:rsidRPr="00A06BA5">
        <w:rPr>
          <w:rStyle w:val="textexposedshow"/>
          <w:rFonts w:ascii="Times New Roman" w:hAnsi="Times New Roman"/>
          <w:sz w:val="24"/>
          <w:szCs w:val="24"/>
          <w:lang w:val="sq-AL"/>
        </w:rPr>
        <w:t>Komisioni i Venecias dhe Shqipëria: Amicus Curiae për Gjykatën Kushtetuese;</w:t>
      </w:r>
    </w:p>
    <w:p w:rsidR="002737A9" w:rsidRPr="00A06BA5" w:rsidRDefault="002737A9" w:rsidP="005C2687">
      <w:pPr>
        <w:pStyle w:val="NoSpacing"/>
        <w:numPr>
          <w:ilvl w:val="0"/>
          <w:numId w:val="35"/>
        </w:numPr>
        <w:spacing w:line="276" w:lineRule="auto"/>
        <w:jc w:val="both"/>
        <w:rPr>
          <w:rStyle w:val="textexposedshow"/>
          <w:rFonts w:ascii="Times New Roman" w:hAnsi="Times New Roman"/>
          <w:sz w:val="24"/>
          <w:szCs w:val="24"/>
          <w:lang w:val="sq-AL"/>
        </w:rPr>
      </w:pPr>
      <w:r w:rsidRPr="00A06BA5">
        <w:rPr>
          <w:rStyle w:val="textexposedshow"/>
          <w:rFonts w:ascii="Times New Roman" w:hAnsi="Times New Roman"/>
          <w:sz w:val="24"/>
          <w:szCs w:val="24"/>
          <w:lang w:val="sq-AL"/>
        </w:rPr>
        <w:t>Edukimi i Profesionistëve të Ligjit me të Drejtat e Njeriut – HELP</w:t>
      </w:r>
      <w:r w:rsidRPr="00A06BA5">
        <w:rPr>
          <w:rFonts w:ascii="Times New Roman" w:hAnsi="Times New Roman"/>
          <w:sz w:val="24"/>
          <w:szCs w:val="24"/>
          <w:lang w:val="sq-AL"/>
        </w:rPr>
        <w:br/>
      </w:r>
      <w:r w:rsidRPr="00A06BA5">
        <w:rPr>
          <w:rStyle w:val="textexposedshow"/>
          <w:rFonts w:ascii="Times New Roman" w:hAnsi="Times New Roman"/>
          <w:sz w:val="24"/>
          <w:szCs w:val="24"/>
          <w:lang w:val="sq-AL"/>
        </w:rPr>
        <w:t xml:space="preserve">Vendimet e GJEDNJ-së për Shqipërinë. </w:t>
      </w:r>
    </w:p>
    <w:p w:rsidR="002737A9" w:rsidRDefault="002737A9" w:rsidP="002737A9">
      <w:pPr>
        <w:pStyle w:val="NoSpacing"/>
        <w:spacing w:line="276" w:lineRule="auto"/>
        <w:jc w:val="both"/>
        <w:rPr>
          <w:rFonts w:ascii="Times New Roman" w:hAnsi="Times New Roman"/>
          <w:noProof/>
          <w:sz w:val="24"/>
          <w:szCs w:val="24"/>
        </w:rPr>
      </w:pPr>
      <w:r w:rsidRPr="00A06BA5">
        <w:rPr>
          <w:rStyle w:val="textexposedshow"/>
          <w:rFonts w:ascii="Times New Roman" w:hAnsi="Times New Roman"/>
          <w:sz w:val="24"/>
          <w:szCs w:val="24"/>
          <w:lang w:val="sq-AL"/>
        </w:rPr>
        <w:t>Njëkohësisht, u realizua pjesëmarrja</w:t>
      </w:r>
      <w:r w:rsidRPr="007F5F77">
        <w:rPr>
          <w:rStyle w:val="textexposedshow"/>
          <w:rFonts w:ascii="Times New Roman" w:hAnsi="Times New Roman"/>
          <w:sz w:val="24"/>
          <w:szCs w:val="24"/>
          <w:lang w:val="sq-AL"/>
        </w:rPr>
        <w:t xml:space="preserve"> në Dhomën e Madhe të GJEDNJ</w:t>
      </w:r>
      <w:r>
        <w:rPr>
          <w:rStyle w:val="textexposedshow"/>
          <w:rFonts w:ascii="Times New Roman" w:hAnsi="Times New Roman"/>
          <w:sz w:val="24"/>
          <w:szCs w:val="24"/>
          <w:lang w:val="sq-AL"/>
        </w:rPr>
        <w:t>-së</w:t>
      </w:r>
      <w:r w:rsidRPr="007F5F77">
        <w:rPr>
          <w:rStyle w:val="textexposedshow"/>
          <w:rFonts w:ascii="Times New Roman" w:hAnsi="Times New Roman"/>
          <w:sz w:val="24"/>
          <w:szCs w:val="24"/>
          <w:lang w:val="sq-AL"/>
        </w:rPr>
        <w:t xml:space="preserve"> për të ndjekur gjykimin e çështjes </w:t>
      </w:r>
      <w:r w:rsidRPr="007F5F77">
        <w:rPr>
          <w:rStyle w:val="textexposedshow"/>
          <w:rFonts w:ascii="Times New Roman" w:hAnsi="Times New Roman"/>
          <w:i/>
          <w:sz w:val="24"/>
          <w:szCs w:val="24"/>
          <w:lang w:val="sq-AL"/>
        </w:rPr>
        <w:t>Lekic kundër Sllovenisë</w:t>
      </w:r>
      <w:r w:rsidRPr="007F5F77">
        <w:rPr>
          <w:rStyle w:val="textexposedshow"/>
          <w:rFonts w:ascii="Times New Roman" w:hAnsi="Times New Roman"/>
          <w:sz w:val="24"/>
          <w:szCs w:val="24"/>
          <w:lang w:val="sq-AL"/>
        </w:rPr>
        <w:t>.</w:t>
      </w:r>
      <w:r w:rsidRPr="002737A9">
        <w:rPr>
          <w:rFonts w:ascii="Times New Roman" w:hAnsi="Times New Roman"/>
          <w:noProof/>
          <w:sz w:val="24"/>
          <w:szCs w:val="24"/>
        </w:rPr>
        <w:t xml:space="preserve"> </w:t>
      </w:r>
    </w:p>
    <w:p w:rsidR="002737A9" w:rsidRDefault="002737A9" w:rsidP="002737A9">
      <w:pPr>
        <w:pStyle w:val="NoSpacing"/>
        <w:spacing w:line="276" w:lineRule="auto"/>
        <w:jc w:val="both"/>
        <w:rPr>
          <w:rStyle w:val="textexposedshow"/>
          <w:rFonts w:ascii="Times New Roman" w:hAnsi="Times New Roman"/>
          <w:sz w:val="24"/>
          <w:szCs w:val="24"/>
          <w:lang w:val="sq-AL"/>
        </w:rPr>
      </w:pPr>
    </w:p>
    <w:p w:rsidR="002737A9" w:rsidRPr="002737A9" w:rsidRDefault="002737A9" w:rsidP="005C2687">
      <w:pPr>
        <w:pStyle w:val="NoSpacing"/>
        <w:numPr>
          <w:ilvl w:val="0"/>
          <w:numId w:val="37"/>
        </w:numPr>
        <w:rPr>
          <w:rFonts w:ascii="Times New Roman" w:hAnsi="Times New Roman"/>
          <w:b/>
          <w:color w:val="0070C0"/>
          <w:sz w:val="24"/>
          <w:szCs w:val="24"/>
          <w:lang w:val="sq-AL"/>
        </w:rPr>
      </w:pPr>
      <w:r w:rsidRPr="007F5F77">
        <w:rPr>
          <w:rFonts w:ascii="Times New Roman" w:hAnsi="Times New Roman"/>
          <w:b/>
          <w:color w:val="0070C0"/>
          <w:sz w:val="24"/>
          <w:szCs w:val="24"/>
          <w:lang w:val="sq-AL"/>
        </w:rPr>
        <w:t>Konkursi Ndërkombëtar THEMIS, Barcelonë</w:t>
      </w:r>
      <w:r>
        <w:rPr>
          <w:rFonts w:ascii="Times New Roman" w:hAnsi="Times New Roman"/>
          <w:b/>
          <w:color w:val="0070C0"/>
          <w:sz w:val="24"/>
          <w:szCs w:val="24"/>
          <w:lang w:val="sq-AL"/>
        </w:rPr>
        <w:t xml:space="preserve">, </w:t>
      </w:r>
      <w:r w:rsidRPr="002737A9">
        <w:rPr>
          <w:rFonts w:ascii="Times New Roman" w:hAnsi="Times New Roman"/>
          <w:b/>
          <w:color w:val="0070C0"/>
          <w:sz w:val="24"/>
          <w:szCs w:val="24"/>
          <w:lang w:val="sq-AL"/>
        </w:rPr>
        <w:t>24-27 prill 2018</w:t>
      </w:r>
    </w:p>
    <w:p w:rsidR="002737A9" w:rsidRPr="00EE2DE7" w:rsidRDefault="002737A9" w:rsidP="002737A9">
      <w:pPr>
        <w:pStyle w:val="NoSpacing"/>
        <w:jc w:val="center"/>
        <w:rPr>
          <w:rFonts w:ascii="Times New Roman" w:hAnsi="Times New Roman"/>
          <w:b/>
          <w:sz w:val="24"/>
          <w:szCs w:val="24"/>
          <w:lang w:val="sq-AL"/>
        </w:rPr>
      </w:pPr>
    </w:p>
    <w:p w:rsidR="002737A9" w:rsidRPr="00EE2DE7" w:rsidRDefault="002737A9" w:rsidP="002737A9">
      <w:pPr>
        <w:pStyle w:val="NoSpacing"/>
        <w:spacing w:line="276" w:lineRule="auto"/>
        <w:ind w:firstLine="720"/>
        <w:jc w:val="both"/>
        <w:rPr>
          <w:rFonts w:ascii="Times New Roman" w:hAnsi="Times New Roman"/>
          <w:sz w:val="24"/>
          <w:szCs w:val="24"/>
          <w:lang w:val="sq-AL"/>
        </w:rPr>
      </w:pPr>
      <w:r w:rsidRPr="00EE2DE7">
        <w:rPr>
          <w:rFonts w:ascii="Times New Roman" w:hAnsi="Times New Roman"/>
          <w:sz w:val="24"/>
          <w:szCs w:val="24"/>
          <w:lang w:val="sq-AL"/>
        </w:rPr>
        <w:t>Në kuadër të bashkëpunimit me Rrjetin E</w:t>
      </w:r>
      <w:r>
        <w:rPr>
          <w:rFonts w:ascii="Times New Roman" w:hAnsi="Times New Roman"/>
          <w:sz w:val="24"/>
          <w:szCs w:val="24"/>
          <w:lang w:val="sq-AL"/>
        </w:rPr>
        <w:t>u</w:t>
      </w:r>
      <w:r w:rsidRPr="00EE2DE7">
        <w:rPr>
          <w:rFonts w:ascii="Times New Roman" w:hAnsi="Times New Roman"/>
          <w:sz w:val="24"/>
          <w:szCs w:val="24"/>
          <w:lang w:val="sq-AL"/>
        </w:rPr>
        <w:t>ropian të Trajnimit Gjyqësor, Shkolla e Magjistraturës mori pjesë në Konkursin Ndërkombëtar THEMIS, me një skuadër studentësh e shoqëruar me një pedagog të brendshëm të Shkollës.</w:t>
      </w:r>
    </w:p>
    <w:p w:rsidR="002737A9" w:rsidRPr="006A1529" w:rsidRDefault="002737A9" w:rsidP="002737A9">
      <w:pPr>
        <w:pStyle w:val="NoSpacing"/>
        <w:spacing w:line="276" w:lineRule="auto"/>
        <w:ind w:firstLine="720"/>
        <w:jc w:val="both"/>
        <w:rPr>
          <w:rFonts w:ascii="Times New Roman" w:hAnsi="Times New Roman"/>
          <w:sz w:val="24"/>
          <w:szCs w:val="24"/>
          <w:lang w:val="sq-AL"/>
        </w:rPr>
      </w:pPr>
      <w:r w:rsidRPr="006A1529">
        <w:rPr>
          <w:rFonts w:ascii="Times New Roman" w:hAnsi="Times New Roman"/>
          <w:sz w:val="24"/>
          <w:szCs w:val="24"/>
          <w:lang w:val="sq-AL"/>
        </w:rPr>
        <w:t>Konkursi pati synimin të promovonte një forum diskutimi për të drejtën e</w:t>
      </w:r>
      <w:r>
        <w:rPr>
          <w:rFonts w:ascii="Times New Roman" w:hAnsi="Times New Roman"/>
          <w:sz w:val="24"/>
          <w:szCs w:val="24"/>
          <w:lang w:val="sq-AL"/>
        </w:rPr>
        <w:t>u</w:t>
      </w:r>
      <w:r w:rsidRPr="006A1529">
        <w:rPr>
          <w:rFonts w:ascii="Times New Roman" w:hAnsi="Times New Roman"/>
          <w:sz w:val="24"/>
          <w:szCs w:val="24"/>
          <w:lang w:val="sq-AL"/>
        </w:rPr>
        <w:t>ropiane dhe ndërkombëtare, të promovonte shkëmbimin e përvojave ndërmjet shkollave të trajnimit gjyqësor në E</w:t>
      </w:r>
      <w:r>
        <w:rPr>
          <w:rFonts w:ascii="Times New Roman" w:hAnsi="Times New Roman"/>
          <w:sz w:val="24"/>
          <w:szCs w:val="24"/>
          <w:lang w:val="sq-AL"/>
        </w:rPr>
        <w:t>u</w:t>
      </w:r>
      <w:r w:rsidRPr="006A1529">
        <w:rPr>
          <w:rFonts w:ascii="Times New Roman" w:hAnsi="Times New Roman"/>
          <w:sz w:val="24"/>
          <w:szCs w:val="24"/>
          <w:lang w:val="sq-AL"/>
        </w:rPr>
        <w:t>ropë, si dhe të inkurajonte</w:t>
      </w:r>
      <w:r w:rsidRPr="006A1529">
        <w:rPr>
          <w:rStyle w:val="textexposedshow"/>
          <w:rFonts w:ascii="Times New Roman" w:hAnsi="Times New Roman"/>
          <w:sz w:val="24"/>
          <w:szCs w:val="24"/>
          <w:lang w:val="sq-AL"/>
        </w:rPr>
        <w:t xml:space="preserve"> zhvillimin e të menduarit kritik dhe të aftësive të komunikimit.</w:t>
      </w:r>
      <w:r w:rsidRPr="006A1529">
        <w:rPr>
          <w:rFonts w:ascii="Times New Roman" w:hAnsi="Times New Roman"/>
          <w:sz w:val="24"/>
          <w:szCs w:val="24"/>
          <w:lang w:val="sq-AL"/>
        </w:rPr>
        <w:br/>
      </w:r>
      <w:r w:rsidRPr="006A1529">
        <w:rPr>
          <w:rStyle w:val="textexposedshow"/>
          <w:rFonts w:ascii="Times New Roman" w:hAnsi="Times New Roman"/>
          <w:sz w:val="24"/>
          <w:szCs w:val="24"/>
          <w:lang w:val="sq-AL"/>
        </w:rPr>
        <w:t xml:space="preserve">Skuadra e Shkollës së Magjistraturës përbëhej nga </w:t>
      </w:r>
      <w:r>
        <w:rPr>
          <w:rStyle w:val="textexposedshow"/>
          <w:rFonts w:ascii="Times New Roman" w:hAnsi="Times New Roman"/>
          <w:sz w:val="24"/>
          <w:szCs w:val="24"/>
          <w:lang w:val="sq-AL"/>
        </w:rPr>
        <w:t>z</w:t>
      </w:r>
      <w:r w:rsidRPr="006A1529">
        <w:rPr>
          <w:rStyle w:val="textexposedshow"/>
          <w:rFonts w:ascii="Times New Roman" w:hAnsi="Times New Roman"/>
          <w:sz w:val="24"/>
          <w:szCs w:val="24"/>
          <w:lang w:val="sq-AL"/>
        </w:rPr>
        <w:t xml:space="preserve">. Olti Skrame, </w:t>
      </w:r>
      <w:r>
        <w:rPr>
          <w:rStyle w:val="textexposedshow"/>
          <w:rFonts w:ascii="Times New Roman" w:hAnsi="Times New Roman"/>
          <w:sz w:val="24"/>
          <w:szCs w:val="24"/>
          <w:lang w:val="sq-AL"/>
        </w:rPr>
        <w:t>znj. Iva Çorri dhe z</w:t>
      </w:r>
      <w:r w:rsidRPr="006A1529">
        <w:rPr>
          <w:rStyle w:val="textexposedshow"/>
          <w:rFonts w:ascii="Times New Roman" w:hAnsi="Times New Roman"/>
          <w:sz w:val="24"/>
          <w:szCs w:val="24"/>
          <w:lang w:val="sq-AL"/>
        </w:rPr>
        <w:t>. Florian Boriçi, kandidatë për magjistratë në vitin e tretë dhe të d</w:t>
      </w:r>
      <w:r>
        <w:rPr>
          <w:rStyle w:val="textexposedshow"/>
          <w:rFonts w:ascii="Times New Roman" w:hAnsi="Times New Roman"/>
          <w:sz w:val="24"/>
          <w:szCs w:val="24"/>
          <w:lang w:val="sq-AL"/>
        </w:rPr>
        <w:t>ytë të Shkollës, shoqëruar nga pedagogu z. Arben Rakipi</w:t>
      </w:r>
      <w:r w:rsidRPr="006A1529">
        <w:rPr>
          <w:rStyle w:val="textexposedshow"/>
          <w:rFonts w:ascii="Times New Roman" w:hAnsi="Times New Roman"/>
          <w:sz w:val="24"/>
          <w:szCs w:val="24"/>
          <w:lang w:val="sq-AL"/>
        </w:rPr>
        <w:t xml:space="preserve"> dhe mori pjesë në forumin me tematikë: </w:t>
      </w:r>
      <w:r>
        <w:rPr>
          <w:rStyle w:val="textexposedshow"/>
          <w:rFonts w:ascii="Times New Roman" w:hAnsi="Times New Roman"/>
          <w:sz w:val="24"/>
          <w:szCs w:val="24"/>
          <w:lang w:val="sq-AL"/>
        </w:rPr>
        <w:t>“</w:t>
      </w:r>
      <w:r w:rsidRPr="006A1529">
        <w:rPr>
          <w:rStyle w:val="textexposedshow"/>
          <w:rFonts w:ascii="Times New Roman" w:hAnsi="Times New Roman"/>
          <w:i/>
          <w:sz w:val="24"/>
          <w:szCs w:val="24"/>
          <w:lang w:val="sq-AL"/>
        </w:rPr>
        <w:t>Bashkëpunimi ndërkombëtar në çështjet penale</w:t>
      </w:r>
      <w:r>
        <w:rPr>
          <w:rStyle w:val="textexposedshow"/>
          <w:rFonts w:ascii="Times New Roman" w:hAnsi="Times New Roman"/>
          <w:sz w:val="24"/>
          <w:szCs w:val="24"/>
          <w:lang w:val="sq-AL"/>
        </w:rPr>
        <w:t>”</w:t>
      </w:r>
      <w:r w:rsidRPr="006A1529">
        <w:rPr>
          <w:rStyle w:val="textexposedshow"/>
          <w:rFonts w:ascii="Times New Roman" w:hAnsi="Times New Roman"/>
          <w:sz w:val="24"/>
          <w:szCs w:val="24"/>
          <w:lang w:val="sq-AL"/>
        </w:rPr>
        <w:t>.</w:t>
      </w:r>
    </w:p>
    <w:p w:rsidR="002737A9" w:rsidRDefault="002737A9" w:rsidP="002737A9">
      <w:pPr>
        <w:pStyle w:val="NoSpacing"/>
        <w:spacing w:line="276" w:lineRule="auto"/>
        <w:ind w:firstLine="720"/>
        <w:jc w:val="both"/>
        <w:rPr>
          <w:rFonts w:ascii="Times New Roman" w:hAnsi="Times New Roman"/>
          <w:sz w:val="24"/>
          <w:szCs w:val="24"/>
          <w:lang w:val="sq-AL"/>
        </w:rPr>
      </w:pPr>
      <w:r w:rsidRPr="006A1529">
        <w:rPr>
          <w:rFonts w:ascii="Times New Roman" w:hAnsi="Times New Roman"/>
          <w:sz w:val="24"/>
          <w:szCs w:val="24"/>
          <w:lang w:val="sq-AL"/>
        </w:rPr>
        <w:t xml:space="preserve">Në mbyllje të këtij </w:t>
      </w:r>
      <w:r>
        <w:rPr>
          <w:rFonts w:ascii="Times New Roman" w:hAnsi="Times New Roman"/>
          <w:sz w:val="24"/>
          <w:szCs w:val="24"/>
          <w:lang w:val="sq-AL"/>
        </w:rPr>
        <w:t>k</w:t>
      </w:r>
      <w:r w:rsidRPr="006A1529">
        <w:rPr>
          <w:rFonts w:ascii="Times New Roman" w:hAnsi="Times New Roman"/>
          <w:sz w:val="24"/>
          <w:szCs w:val="24"/>
          <w:lang w:val="sq-AL"/>
        </w:rPr>
        <w:t>onkursi, skuadra e Shkollës së Magjistraturës u vlerësua me Çmimin Special të Jurisë.</w:t>
      </w:r>
    </w:p>
    <w:p w:rsidR="002737A9" w:rsidRPr="00A07C6C" w:rsidRDefault="002737A9" w:rsidP="002737A9">
      <w:pPr>
        <w:pStyle w:val="NoSpacing"/>
        <w:spacing w:line="276" w:lineRule="auto"/>
        <w:ind w:firstLine="720"/>
        <w:jc w:val="both"/>
        <w:rPr>
          <w:rFonts w:ascii="Times New Roman" w:hAnsi="Times New Roman"/>
          <w:sz w:val="24"/>
          <w:szCs w:val="24"/>
          <w:lang w:val="sq-AL"/>
        </w:rPr>
      </w:pPr>
    </w:p>
    <w:p w:rsidR="002737A9" w:rsidRPr="007B1E3D" w:rsidRDefault="002737A9" w:rsidP="002737A9">
      <w:pPr>
        <w:pStyle w:val="NoSpacing"/>
        <w:jc w:val="center"/>
        <w:rPr>
          <w:rFonts w:ascii="Times New Roman" w:hAnsi="Times New Roman"/>
          <w:bCs/>
          <w:color w:val="4C4C4C" w:themeColor="accent5" w:themeShade="80"/>
          <w:sz w:val="24"/>
          <w:szCs w:val="24"/>
          <w:lang w:val="sq-AL"/>
        </w:rPr>
      </w:pPr>
      <w:r w:rsidRPr="00EE2DE7">
        <w:rPr>
          <w:rFonts w:ascii="Times New Roman" w:hAnsi="Times New Roman"/>
          <w:noProof/>
          <w:sz w:val="24"/>
          <w:szCs w:val="24"/>
        </w:rPr>
        <w:drawing>
          <wp:inline distT="0" distB="0" distL="0" distR="0">
            <wp:extent cx="3029522" cy="1737360"/>
            <wp:effectExtent l="19050" t="0" r="0" b="0"/>
            <wp:docPr id="48" name="Picture 48" descr="Image may contain: one or more people, people sitt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one or more people, people sitting and indoor"/>
                    <pic:cNvPicPr>
                      <a:picLocks noChangeAspect="1" noChangeArrowheads="1"/>
                    </pic:cNvPicPr>
                  </pic:nvPicPr>
                  <pic:blipFill>
                    <a:blip r:embed="rId33" cstate="print">
                      <a:extLst>
                        <a:ext uri="{28A0092B-C50C-407E-A947-70E740481C1C}">
                          <a14:useLocalDpi xmlns:a14="http://schemas.microsoft.com/office/drawing/2010/main" val="0"/>
                        </a:ext>
                      </a:extLst>
                    </a:blip>
                    <a:srcRect l="3185" t="20147"/>
                    <a:stretch>
                      <a:fillRect/>
                    </a:stretch>
                  </pic:blipFill>
                  <pic:spPr bwMode="auto">
                    <a:xfrm>
                      <a:off x="0" y="0"/>
                      <a:ext cx="3029522" cy="1737360"/>
                    </a:xfrm>
                    <a:prstGeom prst="rect">
                      <a:avLst/>
                    </a:prstGeom>
                    <a:noFill/>
                    <a:ln>
                      <a:noFill/>
                    </a:ln>
                  </pic:spPr>
                </pic:pic>
              </a:graphicData>
            </a:graphic>
          </wp:inline>
        </w:drawing>
      </w:r>
      <w:r w:rsidRPr="00EE2DE7">
        <w:rPr>
          <w:rFonts w:ascii="Times New Roman" w:hAnsi="Times New Roman"/>
          <w:b/>
          <w:noProof/>
          <w:sz w:val="24"/>
          <w:szCs w:val="24"/>
        </w:rPr>
        <w:drawing>
          <wp:inline distT="0" distB="0" distL="0" distR="0">
            <wp:extent cx="2861310" cy="1737360"/>
            <wp:effectExtent l="19050" t="0" r="0" b="0"/>
            <wp:docPr id="54" name="Picture 54" descr="C:\Users\Dori\Desktop\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i\Desktop\DSC_0042.JPG"/>
                    <pic:cNvPicPr>
                      <a:picLocks noChangeAspect="1" noChangeArrowheads="1"/>
                    </pic:cNvPicPr>
                  </pic:nvPicPr>
                  <pic:blipFill>
                    <a:blip r:embed="rId34" cstate="print">
                      <a:extLst>
                        <a:ext uri="{28A0092B-C50C-407E-A947-70E740481C1C}">
                          <a14:useLocalDpi xmlns:a14="http://schemas.microsoft.com/office/drawing/2010/main" val="0"/>
                        </a:ext>
                      </a:extLst>
                    </a:blip>
                    <a:srcRect t="15584" r="3097"/>
                    <a:stretch>
                      <a:fillRect/>
                    </a:stretch>
                  </pic:blipFill>
                  <pic:spPr bwMode="auto">
                    <a:xfrm>
                      <a:off x="0" y="0"/>
                      <a:ext cx="2861310" cy="1737360"/>
                    </a:xfrm>
                    <a:prstGeom prst="rect">
                      <a:avLst/>
                    </a:prstGeom>
                    <a:noFill/>
                    <a:ln>
                      <a:noFill/>
                    </a:ln>
                  </pic:spPr>
                </pic:pic>
              </a:graphicData>
            </a:graphic>
          </wp:inline>
        </w:drawing>
      </w:r>
    </w:p>
    <w:p w:rsidR="00B3782C" w:rsidRDefault="00B3782C" w:rsidP="008D2205">
      <w:pPr>
        <w:spacing w:line="276" w:lineRule="auto"/>
        <w:jc w:val="both"/>
        <w:rPr>
          <w:b/>
          <w:color w:val="CC9966" w:themeColor="accent2"/>
          <w:sz w:val="32"/>
        </w:rPr>
      </w:pPr>
    </w:p>
    <w:p w:rsidR="002737A9" w:rsidRPr="002737A9" w:rsidRDefault="002737A9" w:rsidP="005C2687">
      <w:pPr>
        <w:pStyle w:val="NoSpacing"/>
        <w:numPr>
          <w:ilvl w:val="0"/>
          <w:numId w:val="37"/>
        </w:numPr>
        <w:rPr>
          <w:rFonts w:ascii="Times New Roman" w:hAnsi="Times New Roman"/>
          <w:b/>
          <w:color w:val="0070C0"/>
          <w:sz w:val="24"/>
          <w:szCs w:val="24"/>
          <w:lang w:val="sq-AL"/>
        </w:rPr>
      </w:pPr>
      <w:r w:rsidRPr="006A1529">
        <w:rPr>
          <w:rFonts w:ascii="Times New Roman" w:hAnsi="Times New Roman"/>
          <w:b/>
          <w:color w:val="0070C0"/>
          <w:sz w:val="24"/>
          <w:szCs w:val="24"/>
          <w:lang w:val="sq-AL"/>
        </w:rPr>
        <w:t>Vizitë pune e delegacionit nga Akademia e Drejtësisë së Turqisë</w:t>
      </w:r>
      <w:r>
        <w:rPr>
          <w:rFonts w:ascii="Times New Roman" w:hAnsi="Times New Roman"/>
          <w:b/>
          <w:color w:val="0070C0"/>
          <w:sz w:val="24"/>
          <w:szCs w:val="24"/>
          <w:lang w:val="sq-AL"/>
        </w:rPr>
        <w:t xml:space="preserve">. </w:t>
      </w:r>
      <w:r w:rsidRPr="002737A9">
        <w:rPr>
          <w:rFonts w:ascii="Times New Roman" w:hAnsi="Times New Roman"/>
          <w:b/>
          <w:color w:val="0070C0"/>
          <w:sz w:val="24"/>
          <w:szCs w:val="24"/>
          <w:lang w:val="sq-AL"/>
        </w:rPr>
        <w:t>23-27 prill 2018</w:t>
      </w:r>
    </w:p>
    <w:p w:rsidR="002737A9" w:rsidRPr="00EE2DE7" w:rsidRDefault="002737A9" w:rsidP="002737A9">
      <w:pPr>
        <w:pStyle w:val="NoSpacing"/>
        <w:jc w:val="center"/>
        <w:rPr>
          <w:rFonts w:ascii="Times New Roman" w:hAnsi="Times New Roman"/>
          <w:b/>
          <w:sz w:val="24"/>
          <w:szCs w:val="24"/>
          <w:lang w:val="sq-AL"/>
        </w:rPr>
      </w:pPr>
    </w:p>
    <w:p w:rsidR="002737A9" w:rsidRPr="006A1529" w:rsidRDefault="002737A9" w:rsidP="002737A9">
      <w:pPr>
        <w:pStyle w:val="NoSpacing"/>
        <w:spacing w:line="276" w:lineRule="auto"/>
        <w:ind w:firstLine="720"/>
        <w:jc w:val="both"/>
        <w:rPr>
          <w:rFonts w:ascii="Times New Roman" w:hAnsi="Times New Roman"/>
          <w:sz w:val="24"/>
          <w:szCs w:val="24"/>
          <w:lang w:val="sq-AL"/>
        </w:rPr>
      </w:pPr>
      <w:r w:rsidRPr="006A1529">
        <w:rPr>
          <w:rFonts w:ascii="Times New Roman" w:hAnsi="Times New Roman"/>
          <w:sz w:val="24"/>
          <w:szCs w:val="24"/>
          <w:lang w:val="sq-AL"/>
        </w:rPr>
        <w:t xml:space="preserve">Në kuadër të bashkëpunimit me Akademinë e Drejtësisë së Turqisë, u zhvillua vizita e punës e një delegacioni përfaqësues të akademisë dhe institucioneve të drejtësisë së Turqisë, i përbërë nga përfaqësues të Akademisë dhe Ministrisë së Drejtësisë </w:t>
      </w:r>
      <w:r>
        <w:rPr>
          <w:rFonts w:ascii="Times New Roman" w:hAnsi="Times New Roman"/>
          <w:sz w:val="24"/>
          <w:szCs w:val="24"/>
          <w:lang w:val="sq-AL"/>
        </w:rPr>
        <w:t>s</w:t>
      </w:r>
      <w:r w:rsidRPr="006A1529">
        <w:rPr>
          <w:rFonts w:ascii="Times New Roman" w:hAnsi="Times New Roman"/>
          <w:sz w:val="24"/>
          <w:szCs w:val="24"/>
          <w:lang w:val="sq-AL"/>
        </w:rPr>
        <w:t>ë Turqisë.</w:t>
      </w:r>
    </w:p>
    <w:p w:rsidR="002737A9" w:rsidRPr="006A1529" w:rsidRDefault="002737A9" w:rsidP="002737A9">
      <w:pPr>
        <w:pStyle w:val="NoSpacing"/>
        <w:spacing w:line="276" w:lineRule="auto"/>
        <w:ind w:firstLine="720"/>
        <w:jc w:val="both"/>
        <w:rPr>
          <w:rFonts w:ascii="Times New Roman" w:hAnsi="Times New Roman"/>
          <w:sz w:val="24"/>
          <w:szCs w:val="24"/>
          <w:lang w:val="sq-AL"/>
        </w:rPr>
      </w:pPr>
      <w:r w:rsidRPr="006A1529">
        <w:rPr>
          <w:rFonts w:ascii="Times New Roman" w:hAnsi="Times New Roman"/>
          <w:sz w:val="24"/>
          <w:szCs w:val="24"/>
          <w:lang w:val="sq-AL"/>
        </w:rPr>
        <w:lastRenderedPageBreak/>
        <w:t>Gjatë qëndrimit të tyre delegacioni zhvilloi takime me drejtuesit e institucioneve kryesore të drejtësisë në Shqipëri, si në Gjykatën e La</w:t>
      </w:r>
      <w:r w:rsidRPr="006A1529">
        <w:rPr>
          <w:rStyle w:val="textexposedshow"/>
          <w:rFonts w:ascii="Times New Roman" w:hAnsi="Times New Roman"/>
          <w:sz w:val="24"/>
          <w:szCs w:val="24"/>
          <w:lang w:val="sq-AL"/>
        </w:rPr>
        <w:t>rtë, Gjykatën Kushtetuese, Prokurorinë e Përgjithshme, Këshillin e Lartë të Drejtësisë si dhe në Shkollën e Magjistraturës.</w:t>
      </w:r>
    </w:p>
    <w:p w:rsidR="002737A9" w:rsidRDefault="002737A9" w:rsidP="002737A9">
      <w:pPr>
        <w:pStyle w:val="NoSpacing"/>
        <w:spacing w:line="276" w:lineRule="auto"/>
        <w:ind w:firstLine="720"/>
        <w:jc w:val="both"/>
        <w:rPr>
          <w:rFonts w:ascii="Times New Roman" w:hAnsi="Times New Roman"/>
          <w:sz w:val="24"/>
          <w:szCs w:val="24"/>
          <w:lang w:val="sq-AL"/>
        </w:rPr>
      </w:pPr>
      <w:r w:rsidRPr="006A1529">
        <w:rPr>
          <w:rFonts w:ascii="Times New Roman" w:hAnsi="Times New Roman"/>
          <w:sz w:val="24"/>
          <w:szCs w:val="24"/>
          <w:lang w:val="sq-AL"/>
        </w:rPr>
        <w:t>Vizita mbyllet me një prezantim të kulturës dhe traditave të Shqipërisë nëpërmjet vizitave në vende kulturore me interes njohës.</w:t>
      </w:r>
    </w:p>
    <w:p w:rsidR="002737A9" w:rsidRPr="00EE2DE7" w:rsidRDefault="002737A9" w:rsidP="002737A9">
      <w:pPr>
        <w:pStyle w:val="NoSpacing"/>
        <w:spacing w:line="276" w:lineRule="auto"/>
        <w:ind w:firstLine="720"/>
        <w:jc w:val="both"/>
        <w:rPr>
          <w:rFonts w:ascii="Times New Roman" w:hAnsi="Times New Roman"/>
          <w:sz w:val="24"/>
          <w:szCs w:val="24"/>
          <w:lang w:val="sq-AL"/>
        </w:rPr>
      </w:pPr>
    </w:p>
    <w:p w:rsidR="002737A9" w:rsidRPr="002737A9" w:rsidRDefault="002737A9" w:rsidP="005C2687">
      <w:pPr>
        <w:pStyle w:val="NoSpacing"/>
        <w:numPr>
          <w:ilvl w:val="0"/>
          <w:numId w:val="37"/>
        </w:numPr>
        <w:rPr>
          <w:rFonts w:ascii="Times New Roman" w:hAnsi="Times New Roman"/>
          <w:bCs/>
          <w:color w:val="0070C0"/>
          <w:sz w:val="24"/>
          <w:szCs w:val="24"/>
          <w:lang w:val="sq-AL"/>
        </w:rPr>
      </w:pPr>
      <w:r w:rsidRPr="002737A9">
        <w:rPr>
          <w:b/>
          <w:noProof/>
          <w:color w:val="CC9966" w:themeColor="accent2"/>
          <w:sz w:val="32"/>
          <w:szCs w:val="24"/>
        </w:rPr>
        <w:drawing>
          <wp:anchor distT="0" distB="0" distL="114300" distR="114300" simplePos="0" relativeHeight="251742720" behindDoc="0" locked="0" layoutInCell="1" allowOverlap="1">
            <wp:simplePos x="1093470" y="1905000"/>
            <wp:positionH relativeFrom="margin">
              <wp:align>left</wp:align>
            </wp:positionH>
            <wp:positionV relativeFrom="margin">
              <wp:align>top</wp:align>
            </wp:positionV>
            <wp:extent cx="4461510" cy="2179320"/>
            <wp:effectExtent l="19050" t="0" r="0" b="0"/>
            <wp:wrapSquare wrapText="bothSides"/>
            <wp:docPr id="49" name="Picture 49" descr="Image may contain: 4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4 people, people smiling, people sitting, table and indoor"/>
                    <pic:cNvPicPr>
                      <a:picLocks noChangeAspect="1" noChangeArrowheads="1"/>
                    </pic:cNvPicPr>
                  </pic:nvPicPr>
                  <pic:blipFill>
                    <a:blip r:embed="rId35" cstate="print">
                      <a:extLst>
                        <a:ext uri="{28A0092B-C50C-407E-A947-70E740481C1C}">
                          <a14:useLocalDpi xmlns:a14="http://schemas.microsoft.com/office/drawing/2010/main" val="0"/>
                        </a:ext>
                      </a:extLst>
                    </a:blip>
                    <a:srcRect t="28461" r="2498"/>
                    <a:stretch>
                      <a:fillRect/>
                    </a:stretch>
                  </pic:blipFill>
                  <pic:spPr bwMode="auto">
                    <a:xfrm>
                      <a:off x="0" y="0"/>
                      <a:ext cx="4461510" cy="2179320"/>
                    </a:xfrm>
                    <a:prstGeom prst="rect">
                      <a:avLst/>
                    </a:prstGeom>
                    <a:noFill/>
                    <a:ln>
                      <a:noFill/>
                    </a:ln>
                  </pic:spPr>
                </pic:pic>
              </a:graphicData>
            </a:graphic>
          </wp:anchor>
        </w:drawing>
      </w:r>
      <w:r w:rsidRPr="006A1529">
        <w:rPr>
          <w:rFonts w:ascii="Times New Roman" w:hAnsi="Times New Roman"/>
          <w:b/>
          <w:color w:val="0070C0"/>
          <w:sz w:val="24"/>
          <w:szCs w:val="24"/>
          <w:lang w:val="sq-AL"/>
        </w:rPr>
        <w:t>Vizita e Kryetarit të Gjykatës së Lartë të Los Anxhelos, S.Czuleger</w:t>
      </w:r>
      <w:r>
        <w:rPr>
          <w:rFonts w:ascii="Times New Roman" w:hAnsi="Times New Roman"/>
          <w:bCs/>
          <w:color w:val="0070C0"/>
          <w:sz w:val="24"/>
          <w:szCs w:val="24"/>
          <w:lang w:val="sq-AL"/>
        </w:rPr>
        <w:t xml:space="preserve">, </w:t>
      </w:r>
      <w:r w:rsidRPr="002737A9">
        <w:rPr>
          <w:rFonts w:ascii="Times New Roman" w:hAnsi="Times New Roman"/>
          <w:b/>
          <w:color w:val="0070C0"/>
          <w:sz w:val="24"/>
          <w:szCs w:val="24"/>
          <w:lang w:val="sq-AL"/>
        </w:rPr>
        <w:t>7-10 maj 2018</w:t>
      </w:r>
    </w:p>
    <w:p w:rsidR="002737A9" w:rsidRPr="00EE2DE7" w:rsidRDefault="002737A9" w:rsidP="002737A9">
      <w:pPr>
        <w:pStyle w:val="NoSpacing"/>
        <w:jc w:val="both"/>
        <w:rPr>
          <w:rFonts w:ascii="Times New Roman" w:hAnsi="Times New Roman"/>
          <w:sz w:val="24"/>
          <w:szCs w:val="24"/>
          <w:lang w:val="sq-AL"/>
        </w:rPr>
      </w:pPr>
    </w:p>
    <w:p w:rsidR="002737A9" w:rsidRPr="00A06BA5" w:rsidRDefault="004E1FD3" w:rsidP="004E1FD3">
      <w:pPr>
        <w:pStyle w:val="NoSpacing"/>
        <w:spacing w:line="276" w:lineRule="auto"/>
        <w:jc w:val="both"/>
        <w:rPr>
          <w:rFonts w:ascii="Times New Roman" w:hAnsi="Times New Roman"/>
          <w:sz w:val="24"/>
          <w:szCs w:val="24"/>
          <w:lang w:val="sq-AL"/>
        </w:rPr>
      </w:pPr>
      <w:r>
        <w:rPr>
          <w:rFonts w:ascii="Times New Roman" w:hAnsi="Times New Roman"/>
          <w:noProof/>
          <w:sz w:val="24"/>
          <w:szCs w:val="24"/>
        </w:rPr>
        <w:drawing>
          <wp:anchor distT="0" distB="0" distL="114300" distR="114300" simplePos="0" relativeHeight="251743744" behindDoc="0" locked="0" layoutInCell="1" allowOverlap="1">
            <wp:simplePos x="0" y="0"/>
            <wp:positionH relativeFrom="margin">
              <wp:align>right</wp:align>
            </wp:positionH>
            <wp:positionV relativeFrom="margin">
              <wp:posOffset>2998470</wp:posOffset>
            </wp:positionV>
            <wp:extent cx="4613910" cy="2194560"/>
            <wp:effectExtent l="19050" t="0" r="0" b="0"/>
            <wp:wrapSquare wrapText="bothSides"/>
            <wp:docPr id="50" name="Picture 50" descr="Image may contain: 17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7 people, people smiling, people sitting, table and indoor"/>
                    <pic:cNvPicPr>
                      <a:picLocks noChangeAspect="1" noChangeArrowheads="1"/>
                    </pic:cNvPicPr>
                  </pic:nvPicPr>
                  <pic:blipFill>
                    <a:blip r:embed="rId36" cstate="print">
                      <a:extLst>
                        <a:ext uri="{28A0092B-C50C-407E-A947-70E740481C1C}">
                          <a14:useLocalDpi xmlns:a14="http://schemas.microsoft.com/office/drawing/2010/main" val="0"/>
                        </a:ext>
                      </a:extLst>
                    </a:blip>
                    <a:srcRect l="8298" t="25377" r="3269" b="11558"/>
                    <a:stretch>
                      <a:fillRect/>
                    </a:stretch>
                  </pic:blipFill>
                  <pic:spPr bwMode="auto">
                    <a:xfrm>
                      <a:off x="0" y="0"/>
                      <a:ext cx="4613910" cy="2194560"/>
                    </a:xfrm>
                    <a:prstGeom prst="rect">
                      <a:avLst/>
                    </a:prstGeom>
                    <a:noFill/>
                    <a:ln>
                      <a:noFill/>
                    </a:ln>
                  </pic:spPr>
                </pic:pic>
              </a:graphicData>
            </a:graphic>
          </wp:anchor>
        </w:drawing>
      </w:r>
      <w:r w:rsidR="002737A9" w:rsidRPr="00EE2DE7">
        <w:rPr>
          <w:rFonts w:ascii="Times New Roman" w:hAnsi="Times New Roman"/>
          <w:sz w:val="24"/>
          <w:szCs w:val="24"/>
          <w:lang w:val="sq-AL"/>
        </w:rPr>
        <w:t>Në kuadër të bashkëpunimit me Ambasadën e Shteteve të Bashkuara të Amerikës, zhvilloi në shkollë një seri leksionesh gjykatësi S</w:t>
      </w:r>
      <w:r w:rsidR="002737A9" w:rsidRPr="00A06BA5">
        <w:rPr>
          <w:rFonts w:ascii="Times New Roman" w:hAnsi="Times New Roman"/>
          <w:sz w:val="24"/>
          <w:szCs w:val="24"/>
          <w:lang w:val="sq-AL"/>
        </w:rPr>
        <w:t>. Czuleger, Kryetar i Gjykatës Superiore të Los Anxhelosit, Shtetet e Bashkuara. </w:t>
      </w:r>
    </w:p>
    <w:p w:rsidR="002737A9" w:rsidRPr="00A06BA5" w:rsidRDefault="002737A9" w:rsidP="002737A9">
      <w:pPr>
        <w:pStyle w:val="NoSpacing"/>
        <w:spacing w:line="276" w:lineRule="auto"/>
        <w:ind w:firstLine="720"/>
        <w:jc w:val="both"/>
        <w:rPr>
          <w:rStyle w:val="textexposedshow"/>
          <w:rFonts w:ascii="Times New Roman" w:hAnsi="Times New Roman"/>
          <w:sz w:val="24"/>
          <w:szCs w:val="24"/>
          <w:lang w:val="sq-AL"/>
        </w:rPr>
      </w:pPr>
      <w:r w:rsidRPr="00A06BA5">
        <w:rPr>
          <w:rFonts w:ascii="Times New Roman" w:hAnsi="Times New Roman"/>
          <w:sz w:val="24"/>
          <w:szCs w:val="24"/>
          <w:lang w:val="sq-AL"/>
        </w:rPr>
        <w:t>Z. Czuleger zhvilloi leksione me kandidatët për magjistratë të të tri viteve të Shkollës si dhe një seminar të shkurtër me kancelarët e gjykatave dhe të proku</w:t>
      </w:r>
      <w:r w:rsidRPr="00A06BA5">
        <w:rPr>
          <w:rStyle w:val="textexposedshow"/>
          <w:rFonts w:ascii="Times New Roman" w:hAnsi="Times New Roman"/>
          <w:sz w:val="24"/>
          <w:szCs w:val="24"/>
          <w:lang w:val="sq-AL"/>
        </w:rPr>
        <w:t>rorive.</w:t>
      </w:r>
    </w:p>
    <w:p w:rsidR="002737A9" w:rsidRDefault="002737A9" w:rsidP="004E1FD3">
      <w:pPr>
        <w:pStyle w:val="NoSpacing"/>
        <w:spacing w:line="276" w:lineRule="auto"/>
        <w:jc w:val="both"/>
        <w:rPr>
          <w:rStyle w:val="textexposedshow"/>
          <w:rFonts w:ascii="Times New Roman" w:hAnsi="Times New Roman"/>
          <w:color w:val="1D2129"/>
          <w:sz w:val="24"/>
          <w:szCs w:val="24"/>
          <w:lang w:val="sq-AL"/>
        </w:rPr>
      </w:pPr>
      <w:r w:rsidRPr="00A06BA5">
        <w:rPr>
          <w:rStyle w:val="textexposedshow"/>
          <w:rFonts w:ascii="Times New Roman" w:hAnsi="Times New Roman"/>
          <w:sz w:val="24"/>
          <w:szCs w:val="24"/>
          <w:lang w:val="sq-AL"/>
        </w:rPr>
        <w:t xml:space="preserve">Tematikat e trajtuara ishin: Etika Gjyqësore – Shmangia e grackave, korrupsioni në gjyqësor. Përzgjedhja, rekrutimi dhe trajnimi i gjyqtarëve, pavarësia e gjyqësorit. </w:t>
      </w:r>
      <w:r w:rsidR="004E1FD3">
        <w:rPr>
          <w:rStyle w:val="textexposedshow"/>
          <w:rFonts w:ascii="Times New Roman" w:hAnsi="Times New Roman"/>
          <w:sz w:val="24"/>
          <w:szCs w:val="24"/>
          <w:lang w:val="sq-AL"/>
        </w:rPr>
        <w:t xml:space="preserve"> </w:t>
      </w:r>
      <w:r w:rsidRPr="00A06BA5">
        <w:rPr>
          <w:rStyle w:val="textexposedshow"/>
          <w:rFonts w:ascii="Times New Roman" w:hAnsi="Times New Roman"/>
          <w:sz w:val="24"/>
          <w:szCs w:val="24"/>
          <w:lang w:val="sq-AL"/>
        </w:rPr>
        <w:t xml:space="preserve">Procedura Penale në SHBA – Shqipëri.  Amendamenti i 4-t: kontrolli dhe sekuestrimi. </w:t>
      </w:r>
      <w:r w:rsidRPr="00EE2DE7">
        <w:rPr>
          <w:rStyle w:val="textexposedshow"/>
          <w:rFonts w:ascii="Times New Roman" w:hAnsi="Times New Roman"/>
          <w:color w:val="1D2129"/>
          <w:sz w:val="24"/>
          <w:szCs w:val="24"/>
          <w:lang w:val="sq-AL"/>
        </w:rPr>
        <w:t>Amendamenti i 5</w:t>
      </w:r>
      <w:r>
        <w:rPr>
          <w:rStyle w:val="textexposedshow"/>
          <w:rFonts w:ascii="Times New Roman" w:hAnsi="Times New Roman"/>
          <w:color w:val="1D2129"/>
          <w:sz w:val="24"/>
          <w:szCs w:val="24"/>
          <w:lang w:val="sq-AL"/>
        </w:rPr>
        <w:t>-të: v</w:t>
      </w:r>
      <w:r w:rsidRPr="00EE2DE7">
        <w:rPr>
          <w:rStyle w:val="textexposedshow"/>
          <w:rFonts w:ascii="Times New Roman" w:hAnsi="Times New Roman"/>
          <w:color w:val="1D2129"/>
          <w:sz w:val="24"/>
          <w:szCs w:val="24"/>
          <w:lang w:val="sq-AL"/>
        </w:rPr>
        <w:t>e</w:t>
      </w:r>
      <w:r>
        <w:rPr>
          <w:rStyle w:val="textexposedshow"/>
          <w:rFonts w:ascii="Times New Roman" w:hAnsi="Times New Roman"/>
          <w:color w:val="1D2129"/>
          <w:sz w:val="24"/>
          <w:szCs w:val="24"/>
          <w:lang w:val="sq-AL"/>
        </w:rPr>
        <w:t xml:space="preserve">të-inkriminimi. </w:t>
      </w:r>
      <w:r w:rsidRPr="00EE2DE7">
        <w:rPr>
          <w:rStyle w:val="textexposedshow"/>
          <w:rFonts w:ascii="Times New Roman" w:hAnsi="Times New Roman"/>
          <w:color w:val="1D2129"/>
          <w:sz w:val="24"/>
          <w:szCs w:val="24"/>
          <w:lang w:val="sq-AL"/>
        </w:rPr>
        <w:t>Amendamenti i 6</w:t>
      </w:r>
      <w:r>
        <w:rPr>
          <w:rStyle w:val="textexposedshow"/>
          <w:rFonts w:ascii="Times New Roman" w:hAnsi="Times New Roman"/>
          <w:color w:val="1D2129"/>
          <w:sz w:val="24"/>
          <w:szCs w:val="24"/>
          <w:lang w:val="sq-AL"/>
        </w:rPr>
        <w:t>: të drejtat për gjykim.</w:t>
      </w:r>
      <w:r w:rsidR="004E1FD3">
        <w:rPr>
          <w:rStyle w:val="textexposedshow"/>
          <w:rFonts w:ascii="Times New Roman" w:hAnsi="Times New Roman"/>
          <w:color w:val="1D2129"/>
          <w:sz w:val="24"/>
          <w:szCs w:val="24"/>
          <w:lang w:val="sq-AL"/>
        </w:rPr>
        <w:t xml:space="preserve"> </w:t>
      </w:r>
      <w:r w:rsidRPr="00EE2DE7">
        <w:rPr>
          <w:rStyle w:val="textexposedshow"/>
          <w:rFonts w:ascii="Times New Roman" w:hAnsi="Times New Roman"/>
          <w:color w:val="1D2129"/>
          <w:sz w:val="24"/>
          <w:szCs w:val="24"/>
          <w:lang w:val="sq-AL"/>
        </w:rPr>
        <w:t>Amendamenti i 8</w:t>
      </w:r>
      <w:r>
        <w:rPr>
          <w:rStyle w:val="textexposedshow"/>
          <w:rFonts w:ascii="Times New Roman" w:hAnsi="Times New Roman"/>
          <w:color w:val="1D2129"/>
          <w:sz w:val="24"/>
          <w:szCs w:val="24"/>
          <w:lang w:val="sq-AL"/>
        </w:rPr>
        <w:t>:</w:t>
      </w:r>
      <w:r w:rsidRPr="00EE2DE7">
        <w:rPr>
          <w:rStyle w:val="textexposedshow"/>
          <w:rFonts w:ascii="Times New Roman" w:hAnsi="Times New Roman"/>
          <w:color w:val="1D2129"/>
          <w:sz w:val="24"/>
          <w:szCs w:val="24"/>
          <w:lang w:val="sq-AL"/>
        </w:rPr>
        <w:t xml:space="preserve"> garancia pasurore dhe ndëshkimi</w:t>
      </w:r>
      <w:r>
        <w:rPr>
          <w:rStyle w:val="textexposedshow"/>
          <w:rFonts w:ascii="Times New Roman" w:hAnsi="Times New Roman"/>
          <w:color w:val="1D2129"/>
          <w:sz w:val="24"/>
          <w:szCs w:val="24"/>
          <w:lang w:val="sq-AL"/>
        </w:rPr>
        <w:t xml:space="preserve">. </w:t>
      </w:r>
      <w:r w:rsidRPr="00EE2DE7">
        <w:rPr>
          <w:rStyle w:val="textexposedshow"/>
          <w:rFonts w:ascii="Times New Roman" w:hAnsi="Times New Roman"/>
          <w:color w:val="1D2129"/>
          <w:sz w:val="24"/>
          <w:szCs w:val="24"/>
          <w:lang w:val="sq-AL"/>
        </w:rPr>
        <w:t>Etika gjyqësore,</w:t>
      </w:r>
      <w:r>
        <w:rPr>
          <w:rStyle w:val="textexposedshow"/>
          <w:rFonts w:ascii="Times New Roman" w:hAnsi="Times New Roman"/>
          <w:color w:val="1D2129"/>
          <w:sz w:val="24"/>
          <w:szCs w:val="24"/>
          <w:lang w:val="sq-AL"/>
        </w:rPr>
        <w:t xml:space="preserve"> rëndësia e procedurave në kohë</w:t>
      </w:r>
      <w:r w:rsidRPr="00EE2DE7">
        <w:rPr>
          <w:rStyle w:val="textexposedshow"/>
          <w:rFonts w:ascii="Times New Roman" w:hAnsi="Times New Roman"/>
          <w:color w:val="1D2129"/>
          <w:sz w:val="24"/>
          <w:szCs w:val="24"/>
          <w:lang w:val="sq-AL"/>
        </w:rPr>
        <w:t xml:space="preserve"> etj.</w:t>
      </w:r>
    </w:p>
    <w:p w:rsidR="004E1FD3" w:rsidRPr="004E1FD3" w:rsidRDefault="004E1FD3" w:rsidP="004E1FD3">
      <w:pPr>
        <w:pStyle w:val="NoSpacing"/>
        <w:spacing w:line="276" w:lineRule="auto"/>
        <w:jc w:val="both"/>
        <w:rPr>
          <w:rStyle w:val="textexposedshow"/>
          <w:rFonts w:ascii="Times New Roman" w:hAnsi="Times New Roman"/>
          <w:sz w:val="24"/>
          <w:szCs w:val="24"/>
          <w:lang w:val="sq-AL"/>
        </w:rPr>
      </w:pPr>
    </w:p>
    <w:p w:rsidR="004E1FD3" w:rsidRPr="004E1FD3" w:rsidRDefault="004E1FD3" w:rsidP="005C2687">
      <w:pPr>
        <w:pStyle w:val="NoSpacing"/>
        <w:numPr>
          <w:ilvl w:val="0"/>
          <w:numId w:val="37"/>
        </w:numPr>
        <w:rPr>
          <w:rFonts w:ascii="Times New Roman" w:hAnsi="Times New Roman"/>
          <w:b/>
          <w:color w:val="0070C0"/>
          <w:sz w:val="24"/>
          <w:szCs w:val="24"/>
          <w:lang w:val="sq-AL"/>
        </w:rPr>
      </w:pPr>
      <w:r w:rsidRPr="006A1529">
        <w:rPr>
          <w:rFonts w:ascii="Times New Roman" w:hAnsi="Times New Roman"/>
          <w:b/>
          <w:color w:val="0070C0"/>
          <w:sz w:val="24"/>
          <w:szCs w:val="24"/>
          <w:lang w:val="sq-AL"/>
        </w:rPr>
        <w:t>Leksion me z. Clint Williamson</w:t>
      </w:r>
      <w:r>
        <w:rPr>
          <w:rFonts w:ascii="Times New Roman" w:hAnsi="Times New Roman"/>
          <w:b/>
          <w:color w:val="0070C0"/>
          <w:sz w:val="24"/>
          <w:szCs w:val="24"/>
          <w:lang w:val="sq-AL"/>
        </w:rPr>
        <w:t xml:space="preserve">, </w:t>
      </w:r>
      <w:r w:rsidRPr="004E1FD3">
        <w:rPr>
          <w:rFonts w:ascii="Times New Roman" w:hAnsi="Times New Roman"/>
          <w:b/>
          <w:color w:val="0070C0"/>
          <w:sz w:val="24"/>
          <w:szCs w:val="24"/>
          <w:lang w:val="sq-AL"/>
        </w:rPr>
        <w:t>16 maj 2018</w:t>
      </w:r>
    </w:p>
    <w:p w:rsidR="004E1FD3" w:rsidRPr="00EE2DE7" w:rsidRDefault="004E1FD3" w:rsidP="004E1FD3">
      <w:pPr>
        <w:pStyle w:val="NoSpacing"/>
        <w:jc w:val="both"/>
        <w:rPr>
          <w:rFonts w:ascii="Times New Roman" w:hAnsi="Times New Roman"/>
          <w:sz w:val="24"/>
          <w:szCs w:val="24"/>
          <w:lang w:val="sq-AL"/>
        </w:rPr>
      </w:pPr>
    </w:p>
    <w:p w:rsidR="004E1FD3" w:rsidRPr="00EE2DE7" w:rsidRDefault="004E1FD3" w:rsidP="004E1FD3">
      <w:pPr>
        <w:pStyle w:val="NoSpacing"/>
        <w:spacing w:line="276" w:lineRule="auto"/>
        <w:ind w:firstLine="720"/>
        <w:jc w:val="both"/>
        <w:rPr>
          <w:rFonts w:ascii="Times New Roman" w:hAnsi="Times New Roman"/>
          <w:sz w:val="24"/>
          <w:szCs w:val="24"/>
          <w:lang w:val="sq-AL"/>
        </w:rPr>
      </w:pPr>
      <w:r w:rsidRPr="00EE2DE7">
        <w:rPr>
          <w:rFonts w:ascii="Times New Roman" w:hAnsi="Times New Roman"/>
          <w:sz w:val="24"/>
          <w:szCs w:val="24"/>
          <w:lang w:val="sq-AL"/>
        </w:rPr>
        <w:t xml:space="preserve">Në bashkëpunim me Universitetin e Arizonës, në Shkollën e Magjistraturës u organizua një leksion për kandidatët për magjistratë me </w:t>
      </w:r>
      <w:r>
        <w:rPr>
          <w:rFonts w:ascii="Times New Roman" w:hAnsi="Times New Roman"/>
          <w:sz w:val="24"/>
          <w:szCs w:val="24"/>
          <w:lang w:val="sq-AL"/>
        </w:rPr>
        <w:t>z</w:t>
      </w:r>
      <w:r w:rsidRPr="00EE2DE7">
        <w:rPr>
          <w:rFonts w:ascii="Times New Roman" w:hAnsi="Times New Roman"/>
          <w:sz w:val="24"/>
          <w:szCs w:val="24"/>
          <w:lang w:val="sq-AL"/>
        </w:rPr>
        <w:t xml:space="preserve">. Clint </w:t>
      </w:r>
      <w:r>
        <w:rPr>
          <w:rFonts w:ascii="Times New Roman" w:hAnsi="Times New Roman"/>
          <w:sz w:val="24"/>
          <w:szCs w:val="24"/>
          <w:lang w:val="sq-AL"/>
        </w:rPr>
        <w:t>W</w:t>
      </w:r>
      <w:r w:rsidRPr="00EE2DE7">
        <w:rPr>
          <w:rFonts w:ascii="Times New Roman" w:hAnsi="Times New Roman"/>
          <w:sz w:val="24"/>
          <w:szCs w:val="24"/>
          <w:lang w:val="sq-AL"/>
        </w:rPr>
        <w:t xml:space="preserve">illiamson, i cili u prit nga Drejtori i Shkollës për </w:t>
      </w:r>
      <w:r w:rsidRPr="006A1529">
        <w:rPr>
          <w:rFonts w:ascii="Times New Roman" w:hAnsi="Times New Roman"/>
          <w:sz w:val="24"/>
          <w:szCs w:val="24"/>
          <w:lang w:val="sq-AL"/>
        </w:rPr>
        <w:t xml:space="preserve">t’u </w:t>
      </w:r>
      <w:r w:rsidRPr="00EE2DE7">
        <w:rPr>
          <w:rFonts w:ascii="Times New Roman" w:hAnsi="Times New Roman"/>
          <w:sz w:val="24"/>
          <w:szCs w:val="24"/>
          <w:lang w:val="sq-AL"/>
        </w:rPr>
        <w:t>informuar në lidhje me Shkollën dhe pozicionin e saj në tërësi dhe në kuadër të ndryshimeve ligjore.</w:t>
      </w:r>
    </w:p>
    <w:p w:rsidR="004E1FD3" w:rsidRDefault="004E1FD3" w:rsidP="004E1FD3">
      <w:pPr>
        <w:pStyle w:val="NoSpacing"/>
        <w:spacing w:line="276" w:lineRule="auto"/>
        <w:ind w:firstLine="720"/>
        <w:jc w:val="both"/>
        <w:rPr>
          <w:rStyle w:val="textexposedshow"/>
          <w:rFonts w:ascii="Times New Roman" w:hAnsi="Times New Roman"/>
          <w:color w:val="1D2129"/>
          <w:sz w:val="24"/>
          <w:szCs w:val="24"/>
          <w:lang w:val="sq-AL"/>
        </w:rPr>
      </w:pPr>
      <w:r w:rsidRPr="00EE2DE7">
        <w:rPr>
          <w:rFonts w:ascii="Times New Roman" w:hAnsi="Times New Roman"/>
          <w:sz w:val="24"/>
          <w:szCs w:val="24"/>
          <w:lang w:val="sq-AL"/>
        </w:rPr>
        <w:t xml:space="preserve">Ambasadori Williamson është Drejtori për Shtetin e së Drejtës, Qeverisjen dhe Sigurinë në Institutin </w:t>
      </w:r>
      <w:r w:rsidRPr="006A1529">
        <w:rPr>
          <w:rFonts w:ascii="Times New Roman" w:hAnsi="Times New Roman"/>
          <w:i/>
          <w:sz w:val="24"/>
          <w:szCs w:val="24"/>
          <w:lang w:val="sq-AL"/>
        </w:rPr>
        <w:t xml:space="preserve">McCain </w:t>
      </w:r>
      <w:r w:rsidRPr="00EE2DE7">
        <w:rPr>
          <w:rFonts w:ascii="Times New Roman" w:hAnsi="Times New Roman"/>
          <w:sz w:val="24"/>
          <w:szCs w:val="24"/>
          <w:lang w:val="sq-AL"/>
        </w:rPr>
        <w:t>të Universitetit të </w:t>
      </w:r>
      <w:r w:rsidRPr="00EE2DE7">
        <w:rPr>
          <w:rStyle w:val="textexposedshow"/>
          <w:rFonts w:ascii="Times New Roman" w:hAnsi="Times New Roman"/>
          <w:color w:val="1D2129"/>
          <w:sz w:val="24"/>
          <w:szCs w:val="24"/>
          <w:lang w:val="sq-AL"/>
        </w:rPr>
        <w:t xml:space="preserve">Arizonës. Ai ka shërbyer si Ambasador për Krimet e Luftës nga 2006-2009 dhe më parë si Drejtues i Lartë për Emergjencat, Stabilitetin dhe Zhvillimin në Këshillin e Sigurimit Kombëtar të Shteteve të Bashkuara të Amerikës. Njëkohësisht, Ambasadori Williamson ka shërbyer si </w:t>
      </w:r>
      <w:r w:rsidRPr="00EE2DE7">
        <w:rPr>
          <w:rStyle w:val="textexposedshow"/>
          <w:rFonts w:ascii="Times New Roman" w:hAnsi="Times New Roman"/>
          <w:color w:val="1D2129"/>
          <w:sz w:val="24"/>
          <w:szCs w:val="24"/>
          <w:lang w:val="sq-AL"/>
        </w:rPr>
        <w:lastRenderedPageBreak/>
        <w:t>ekspert i posaçëm i Sekretarit të Përgjithshëm të Kombeve të Bashkuara dhe Prokuror për krimet e luftës në Gjykatën Penale Ndërkombëtare për krimet e luftës në Jugosllavi.</w:t>
      </w:r>
    </w:p>
    <w:p w:rsidR="004E1FD3" w:rsidRDefault="004E1FD3" w:rsidP="004E1FD3">
      <w:pPr>
        <w:pStyle w:val="NoSpacing"/>
        <w:spacing w:line="276" w:lineRule="auto"/>
        <w:ind w:firstLine="720"/>
        <w:jc w:val="both"/>
        <w:rPr>
          <w:rStyle w:val="textexposedshow"/>
          <w:rFonts w:ascii="Times New Roman" w:hAnsi="Times New Roman"/>
          <w:color w:val="1D2129"/>
          <w:sz w:val="24"/>
          <w:szCs w:val="24"/>
          <w:lang w:val="sq-AL"/>
        </w:rPr>
      </w:pPr>
      <w:r w:rsidRPr="00EE2DE7">
        <w:rPr>
          <w:rStyle w:val="textexposedshow"/>
          <w:rFonts w:ascii="Times New Roman" w:hAnsi="Times New Roman"/>
          <w:color w:val="1D2129"/>
          <w:sz w:val="24"/>
          <w:szCs w:val="24"/>
          <w:lang w:val="sq-AL"/>
        </w:rPr>
        <w:t>Në leksionin e zhvilluar me kandidatët për magjistratë, Ambasadori Williamson shpjegoi dinamikën e zhvillimit të shtetit të së drejtës në vendet e rajonit të ballkanit, përvojën e tij me investigimin e krimeve të luftës dhe nxjerrjen përpara përgjegjësisë të drejtuesve të shtetit në kuadër të luftës në Jugosllavi.</w:t>
      </w:r>
    </w:p>
    <w:p w:rsidR="004E1FD3" w:rsidRPr="00EE2DE7" w:rsidRDefault="004E1FD3" w:rsidP="004E1FD3">
      <w:pPr>
        <w:pStyle w:val="NoSpacing"/>
        <w:spacing w:line="276" w:lineRule="auto"/>
        <w:ind w:firstLine="720"/>
        <w:jc w:val="both"/>
        <w:rPr>
          <w:rStyle w:val="textexposedshow"/>
          <w:rFonts w:ascii="Times New Roman" w:hAnsi="Times New Roman"/>
          <w:color w:val="1D2129"/>
          <w:sz w:val="24"/>
          <w:szCs w:val="24"/>
          <w:lang w:val="sq-AL"/>
        </w:rPr>
      </w:pPr>
    </w:p>
    <w:p w:rsidR="004E1FD3" w:rsidRPr="006A1529" w:rsidRDefault="004E1FD3" w:rsidP="005C2687">
      <w:pPr>
        <w:pStyle w:val="NoSpacing"/>
        <w:numPr>
          <w:ilvl w:val="0"/>
          <w:numId w:val="37"/>
        </w:numPr>
        <w:rPr>
          <w:rFonts w:ascii="Times New Roman" w:hAnsi="Times New Roman"/>
          <w:b/>
          <w:color w:val="0070C0"/>
          <w:sz w:val="24"/>
          <w:szCs w:val="24"/>
          <w:lang w:val="sq-AL"/>
        </w:rPr>
      </w:pPr>
      <w:r w:rsidRPr="006A1529">
        <w:rPr>
          <w:rFonts w:ascii="Times New Roman" w:hAnsi="Times New Roman"/>
          <w:b/>
          <w:color w:val="0070C0"/>
          <w:sz w:val="24"/>
          <w:szCs w:val="24"/>
          <w:lang w:val="sq-AL"/>
        </w:rPr>
        <w:t>Vizita e Sekretarit të Shtetit të Ministrisë Federale të Drejtësisë dhe Mbrojtjes se Konsumatorit Z. Christian Lange</w:t>
      </w:r>
    </w:p>
    <w:p w:rsidR="004E1FD3" w:rsidRPr="00EE2DE7" w:rsidRDefault="004E1FD3" w:rsidP="004E1FD3">
      <w:pPr>
        <w:pStyle w:val="NoSpacing"/>
        <w:jc w:val="center"/>
        <w:rPr>
          <w:rFonts w:ascii="Times New Roman" w:hAnsi="Times New Roman"/>
          <w:b/>
          <w:sz w:val="24"/>
          <w:szCs w:val="24"/>
          <w:lang w:val="sq-AL"/>
        </w:rPr>
      </w:pPr>
    </w:p>
    <w:p w:rsidR="004E1FD3" w:rsidRPr="003433EE" w:rsidRDefault="004E1FD3" w:rsidP="004E1FD3">
      <w:pPr>
        <w:pStyle w:val="NoSpacing"/>
        <w:spacing w:line="276" w:lineRule="auto"/>
        <w:ind w:firstLine="720"/>
        <w:jc w:val="both"/>
        <w:rPr>
          <w:rStyle w:val="textexposedshow"/>
          <w:rFonts w:ascii="Times New Roman" w:hAnsi="Times New Roman"/>
          <w:sz w:val="24"/>
          <w:szCs w:val="24"/>
          <w:lang w:val="sq-AL"/>
        </w:rPr>
      </w:pPr>
      <w:r w:rsidRPr="003433EE">
        <w:rPr>
          <w:rFonts w:ascii="Times New Roman" w:hAnsi="Times New Roman"/>
          <w:sz w:val="24"/>
          <w:szCs w:val="24"/>
          <w:lang w:val="sq-AL"/>
        </w:rPr>
        <w:t>Në kuadër të bashkëpunimit me Ambasadën Gjermane në Shqipëri, u mundësua realizimi i vizitës së Sekretarit të Shtetit të Ministrisë Federale të Drejtësisë dhe Mbrojtjes së Konsumatorit z. Christian Lange në Shkollë, bashkë me Ambasadoren e Republikës Federale të Gjermanisë në Shqipëri, znj. Susanne Schutz. Në përbërje të delegacionit nga gjermania ishte dhe znj</w:t>
      </w:r>
      <w:r w:rsidRPr="003433EE">
        <w:rPr>
          <w:rStyle w:val="textexposedshow"/>
          <w:rFonts w:ascii="Times New Roman" w:hAnsi="Times New Roman"/>
          <w:sz w:val="24"/>
          <w:szCs w:val="24"/>
          <w:lang w:val="sq-AL"/>
        </w:rPr>
        <w:t>. Uta Winterstein, CEO e Fondacionit Gjerman për Bashkëpunim Ligjor Ndërkombëtar – IRZ, me të cilin Shkolla ka një bashkëpunim të gjatë dhe të frytshëm.</w:t>
      </w:r>
    </w:p>
    <w:p w:rsidR="004E1FD3" w:rsidRPr="003433EE" w:rsidRDefault="004E1FD3" w:rsidP="004E1FD3">
      <w:pPr>
        <w:pStyle w:val="NoSpacing"/>
        <w:spacing w:line="276" w:lineRule="auto"/>
        <w:ind w:firstLine="720"/>
        <w:jc w:val="both"/>
        <w:rPr>
          <w:rStyle w:val="textexposedshow"/>
          <w:rFonts w:ascii="Times New Roman" w:hAnsi="Times New Roman"/>
          <w:sz w:val="24"/>
          <w:szCs w:val="24"/>
          <w:lang w:val="sq-AL"/>
        </w:rPr>
      </w:pPr>
      <w:r>
        <w:rPr>
          <w:rFonts w:ascii="Times New Roman" w:hAnsi="Times New Roman"/>
          <w:noProof/>
          <w:sz w:val="24"/>
          <w:szCs w:val="24"/>
        </w:rPr>
        <w:drawing>
          <wp:anchor distT="0" distB="0" distL="114300" distR="114300" simplePos="0" relativeHeight="251746816" behindDoc="0" locked="0" layoutInCell="1" allowOverlap="1">
            <wp:simplePos x="0" y="0"/>
            <wp:positionH relativeFrom="margin">
              <wp:posOffset>1821180</wp:posOffset>
            </wp:positionH>
            <wp:positionV relativeFrom="margin">
              <wp:posOffset>5253990</wp:posOffset>
            </wp:positionV>
            <wp:extent cx="4652010" cy="2286000"/>
            <wp:effectExtent l="19050" t="0" r="0" b="0"/>
            <wp:wrapSquare wrapText="bothSides"/>
            <wp:docPr id="23" name="Picture 52" descr="Image may contain: 6 people, people smiling, people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6 people, people smiling, people sitting, table and indoor"/>
                    <pic:cNvPicPr>
                      <a:picLocks noChangeAspect="1" noChangeArrowheads="1"/>
                    </pic:cNvPicPr>
                  </pic:nvPicPr>
                  <pic:blipFill>
                    <a:blip r:embed="rId37" cstate="print">
                      <a:lum bright="10000" contrast="10000"/>
                      <a:extLst>
                        <a:ext uri="{28A0092B-C50C-407E-A947-70E740481C1C}">
                          <a14:useLocalDpi xmlns:a14="http://schemas.microsoft.com/office/drawing/2010/main" val="0"/>
                        </a:ext>
                      </a:extLst>
                    </a:blip>
                    <a:srcRect t="18721" b="7534"/>
                    <a:stretch>
                      <a:fillRect/>
                    </a:stretch>
                  </pic:blipFill>
                  <pic:spPr bwMode="auto">
                    <a:xfrm>
                      <a:off x="0" y="0"/>
                      <a:ext cx="4652010" cy="2286000"/>
                    </a:xfrm>
                    <a:prstGeom prst="rect">
                      <a:avLst/>
                    </a:prstGeom>
                    <a:noFill/>
                    <a:ln>
                      <a:noFill/>
                    </a:ln>
                  </pic:spPr>
                </pic:pic>
              </a:graphicData>
            </a:graphic>
          </wp:anchor>
        </w:drawing>
      </w:r>
      <w:r w:rsidRPr="003433EE">
        <w:rPr>
          <w:rStyle w:val="textexposedshow"/>
          <w:rFonts w:ascii="Times New Roman" w:hAnsi="Times New Roman"/>
          <w:sz w:val="24"/>
          <w:szCs w:val="24"/>
          <w:lang w:val="sq-AL"/>
        </w:rPr>
        <w:t>Gjatë takimit përfaqësuesit e shtetit gjerman u informuan në lidhje me situatën në Shkollën e Magjistraturës përsa i takon Formimit Fillestar, Formimit Vazhdues dhe formimit të profesioneve ligjore të tjera. Njëkohësisht, u diskutua gjerësisht në lidhje me kompetencat e reja të Shkollës në kuadër të ndryshimeve ligjore të reformës në drejtësi.</w:t>
      </w:r>
    </w:p>
    <w:p w:rsidR="004E1FD3" w:rsidRPr="003433EE" w:rsidRDefault="004E1FD3" w:rsidP="004E1FD3">
      <w:pPr>
        <w:pStyle w:val="NoSpacing"/>
        <w:spacing w:line="276" w:lineRule="auto"/>
        <w:ind w:firstLine="720"/>
        <w:jc w:val="both"/>
        <w:rPr>
          <w:rStyle w:val="textexposedshow"/>
          <w:rFonts w:ascii="Times New Roman" w:hAnsi="Times New Roman"/>
          <w:sz w:val="24"/>
          <w:szCs w:val="24"/>
          <w:lang w:val="sq-AL"/>
        </w:rPr>
      </w:pPr>
      <w:r w:rsidRPr="003433EE">
        <w:rPr>
          <w:rStyle w:val="textexposedshow"/>
          <w:rFonts w:ascii="Times New Roman" w:hAnsi="Times New Roman"/>
          <w:sz w:val="24"/>
          <w:szCs w:val="24"/>
          <w:lang w:val="sq-AL"/>
        </w:rPr>
        <w:t>Takimi u mbyll me garancitë e dhëna nga pala gjermane për vazhdimin e ofrimit të mbështetjes për Shkollën dhe proceset e ndryshme të saj akademike dhe institucionale.</w:t>
      </w:r>
    </w:p>
    <w:p w:rsidR="004E1FD3" w:rsidRPr="00EE2DE7" w:rsidRDefault="004E1FD3" w:rsidP="00353FCE">
      <w:pPr>
        <w:pStyle w:val="NoSpacing"/>
        <w:rPr>
          <w:rFonts w:ascii="Times New Roman" w:hAnsi="Times New Roman"/>
          <w:bCs/>
          <w:color w:val="4C4C4C" w:themeColor="accent5" w:themeShade="80"/>
          <w:sz w:val="24"/>
          <w:szCs w:val="24"/>
          <w:lang w:val="sq-AL"/>
        </w:rPr>
      </w:pPr>
      <w:r w:rsidRPr="00EE2DE7">
        <w:rPr>
          <w:rFonts w:ascii="Times New Roman" w:hAnsi="Times New Roman"/>
          <w:noProof/>
          <w:sz w:val="24"/>
          <w:szCs w:val="24"/>
        </w:rPr>
        <w:drawing>
          <wp:anchor distT="0" distB="0" distL="114300" distR="114300" simplePos="0" relativeHeight="251744768" behindDoc="0" locked="0" layoutInCell="1" allowOverlap="1">
            <wp:simplePos x="1664970" y="2011680"/>
            <wp:positionH relativeFrom="margin">
              <wp:align>left</wp:align>
            </wp:positionH>
            <wp:positionV relativeFrom="margin">
              <wp:align>top</wp:align>
            </wp:positionV>
            <wp:extent cx="4461510" cy="2346960"/>
            <wp:effectExtent l="19050" t="0" r="0" b="0"/>
            <wp:wrapSquare wrapText="bothSides"/>
            <wp:docPr id="51" name="Picture 51" descr="Image may contain: 3 people, people sitting, screen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3 people, people sitting, screen and indoor"/>
                    <pic:cNvPicPr>
                      <a:picLocks noChangeAspect="1" noChangeArrowheads="1"/>
                    </pic:cNvPicPr>
                  </pic:nvPicPr>
                  <pic:blipFill>
                    <a:blip r:embed="rId38" cstate="print">
                      <a:extLst>
                        <a:ext uri="{28A0092B-C50C-407E-A947-70E740481C1C}">
                          <a14:useLocalDpi xmlns:a14="http://schemas.microsoft.com/office/drawing/2010/main" val="0"/>
                        </a:ext>
                      </a:extLst>
                    </a:blip>
                    <a:srcRect t="21197"/>
                    <a:stretch>
                      <a:fillRect/>
                    </a:stretch>
                  </pic:blipFill>
                  <pic:spPr bwMode="auto">
                    <a:xfrm>
                      <a:off x="0" y="0"/>
                      <a:ext cx="4461510" cy="2346960"/>
                    </a:xfrm>
                    <a:prstGeom prst="rect">
                      <a:avLst/>
                    </a:prstGeom>
                    <a:noFill/>
                    <a:ln>
                      <a:noFill/>
                    </a:ln>
                  </pic:spPr>
                </pic:pic>
              </a:graphicData>
            </a:graphic>
          </wp:anchor>
        </w:drawing>
      </w:r>
    </w:p>
    <w:p w:rsidR="004E1FD3" w:rsidRPr="00EE2DE7" w:rsidRDefault="004E1FD3" w:rsidP="004E1FD3">
      <w:pPr>
        <w:pStyle w:val="NoSpacing"/>
        <w:rPr>
          <w:rFonts w:ascii="Times New Roman" w:hAnsi="Times New Roman"/>
          <w:b/>
          <w:sz w:val="24"/>
          <w:szCs w:val="24"/>
          <w:lang w:val="sq-AL"/>
        </w:rPr>
      </w:pPr>
    </w:p>
    <w:p w:rsidR="00B3782C" w:rsidRDefault="00B3782C" w:rsidP="008D2205">
      <w:pPr>
        <w:spacing w:line="276" w:lineRule="auto"/>
        <w:jc w:val="both"/>
        <w:rPr>
          <w:b/>
          <w:color w:val="CC9966" w:themeColor="accent2"/>
          <w:sz w:val="32"/>
        </w:rPr>
      </w:pPr>
    </w:p>
    <w:p w:rsidR="00353FCE" w:rsidRPr="00353FCE" w:rsidRDefault="00353FCE" w:rsidP="005C2687">
      <w:pPr>
        <w:pStyle w:val="NoSpacing"/>
        <w:numPr>
          <w:ilvl w:val="0"/>
          <w:numId w:val="37"/>
        </w:numPr>
        <w:rPr>
          <w:rFonts w:ascii="Times New Roman" w:hAnsi="Times New Roman"/>
          <w:b/>
          <w:color w:val="0070C0"/>
          <w:sz w:val="24"/>
          <w:szCs w:val="24"/>
          <w:lang w:val="sq-AL"/>
        </w:rPr>
      </w:pPr>
      <w:r w:rsidRPr="003433EE">
        <w:rPr>
          <w:rFonts w:ascii="Times New Roman" w:hAnsi="Times New Roman"/>
          <w:b/>
          <w:color w:val="0070C0"/>
          <w:sz w:val="24"/>
          <w:szCs w:val="24"/>
          <w:lang w:val="sq-AL"/>
        </w:rPr>
        <w:lastRenderedPageBreak/>
        <w:t>Workshop rajonal “Shkëmbimi i praktikave më të mira në trajnimin gjyqësor”</w:t>
      </w:r>
      <w:r>
        <w:rPr>
          <w:rFonts w:ascii="Times New Roman" w:hAnsi="Times New Roman"/>
          <w:b/>
          <w:color w:val="0070C0"/>
          <w:sz w:val="24"/>
          <w:szCs w:val="24"/>
          <w:lang w:val="sq-AL"/>
        </w:rPr>
        <w:t xml:space="preserve">. </w:t>
      </w:r>
      <w:r w:rsidRPr="00353FCE">
        <w:rPr>
          <w:rFonts w:ascii="Times New Roman" w:hAnsi="Times New Roman"/>
          <w:b/>
          <w:color w:val="0070C0"/>
          <w:sz w:val="24"/>
          <w:szCs w:val="24"/>
          <w:lang w:val="sq-AL"/>
        </w:rPr>
        <w:t>13-14 shtator 2018</w:t>
      </w:r>
    </w:p>
    <w:p w:rsidR="00353FCE" w:rsidRPr="00EE2DE7" w:rsidRDefault="00353FCE" w:rsidP="00353FCE">
      <w:pPr>
        <w:pStyle w:val="NoSpacing"/>
        <w:jc w:val="center"/>
        <w:rPr>
          <w:rFonts w:ascii="Times New Roman" w:hAnsi="Times New Roman"/>
          <w:b/>
          <w:sz w:val="24"/>
          <w:szCs w:val="24"/>
          <w:lang w:val="sq-AL"/>
        </w:rPr>
      </w:pPr>
      <w:r>
        <w:rPr>
          <w:rFonts w:ascii="Times New Roman" w:hAnsi="Times New Roman"/>
          <w:b/>
          <w:noProof/>
          <w:sz w:val="24"/>
          <w:szCs w:val="24"/>
        </w:rPr>
        <w:drawing>
          <wp:anchor distT="0" distB="0" distL="114300" distR="114300" simplePos="0" relativeHeight="251747840" behindDoc="0" locked="0" layoutInCell="1" allowOverlap="1">
            <wp:simplePos x="0" y="0"/>
            <wp:positionH relativeFrom="margin">
              <wp:posOffset>2506980</wp:posOffset>
            </wp:positionH>
            <wp:positionV relativeFrom="margin">
              <wp:posOffset>499110</wp:posOffset>
            </wp:positionV>
            <wp:extent cx="4118610" cy="1851660"/>
            <wp:effectExtent l="19050" t="0" r="0" b="0"/>
            <wp:wrapSquare wrapText="bothSides"/>
            <wp:docPr id="53" name="Picture 53" descr="Image may contain: 1 person, sitting,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 person, sitting, table and indoor"/>
                    <pic:cNvPicPr>
                      <a:picLocks noChangeAspect="1" noChangeArrowheads="1"/>
                    </pic:cNvPicPr>
                  </pic:nvPicPr>
                  <pic:blipFill>
                    <a:blip r:embed="rId39" cstate="print">
                      <a:extLst>
                        <a:ext uri="{28A0092B-C50C-407E-A947-70E740481C1C}">
                          <a14:useLocalDpi xmlns:a14="http://schemas.microsoft.com/office/drawing/2010/main" val="0"/>
                        </a:ext>
                      </a:extLst>
                    </a:blip>
                    <a:srcRect t="22364"/>
                    <a:stretch>
                      <a:fillRect/>
                    </a:stretch>
                  </pic:blipFill>
                  <pic:spPr bwMode="auto">
                    <a:xfrm>
                      <a:off x="0" y="0"/>
                      <a:ext cx="4118610" cy="1851660"/>
                    </a:xfrm>
                    <a:prstGeom prst="rect">
                      <a:avLst/>
                    </a:prstGeom>
                    <a:noFill/>
                    <a:ln>
                      <a:noFill/>
                    </a:ln>
                  </pic:spPr>
                </pic:pic>
              </a:graphicData>
            </a:graphic>
          </wp:anchor>
        </w:drawing>
      </w:r>
    </w:p>
    <w:p w:rsidR="00353FCE" w:rsidRPr="00EE2DE7" w:rsidRDefault="00353FCE" w:rsidP="00353FCE">
      <w:pPr>
        <w:pStyle w:val="NoSpacing"/>
        <w:spacing w:line="276" w:lineRule="auto"/>
        <w:jc w:val="both"/>
        <w:rPr>
          <w:rFonts w:ascii="Times New Roman" w:hAnsi="Times New Roman"/>
          <w:sz w:val="24"/>
          <w:szCs w:val="24"/>
          <w:lang w:val="sq-AL"/>
        </w:rPr>
      </w:pPr>
      <w:r w:rsidRPr="00EE2DE7">
        <w:rPr>
          <w:rFonts w:ascii="Times New Roman" w:hAnsi="Times New Roman"/>
          <w:sz w:val="24"/>
          <w:szCs w:val="24"/>
          <w:lang w:val="sq-AL"/>
        </w:rPr>
        <w:t>Në kuadër të bashkëpunimit me GIZ u zhvillua n</w:t>
      </w:r>
      <w:r>
        <w:rPr>
          <w:rFonts w:ascii="Times New Roman" w:hAnsi="Times New Roman"/>
          <w:sz w:val="24"/>
          <w:szCs w:val="24"/>
          <w:lang w:val="sq-AL"/>
        </w:rPr>
        <w:t>ë Beograd workshop-i me titull “</w:t>
      </w:r>
      <w:r w:rsidRPr="003433EE">
        <w:rPr>
          <w:rFonts w:ascii="Times New Roman" w:hAnsi="Times New Roman"/>
          <w:i/>
          <w:sz w:val="24"/>
          <w:szCs w:val="24"/>
          <w:lang w:val="sq-AL"/>
        </w:rPr>
        <w:t>Shkëmbimi rajonal i praktikave më të mira e</w:t>
      </w:r>
      <w:r>
        <w:rPr>
          <w:rFonts w:ascii="Times New Roman" w:hAnsi="Times New Roman"/>
          <w:i/>
          <w:sz w:val="24"/>
          <w:szCs w:val="24"/>
          <w:lang w:val="sq-AL"/>
        </w:rPr>
        <w:t>u</w:t>
      </w:r>
      <w:r w:rsidRPr="003433EE">
        <w:rPr>
          <w:rFonts w:ascii="Times New Roman" w:hAnsi="Times New Roman"/>
          <w:i/>
          <w:sz w:val="24"/>
          <w:szCs w:val="24"/>
          <w:lang w:val="sq-AL"/>
        </w:rPr>
        <w:t xml:space="preserve">ropiane në trajnimin </w:t>
      </w:r>
      <w:r>
        <w:rPr>
          <w:rFonts w:ascii="Times New Roman" w:hAnsi="Times New Roman"/>
          <w:i/>
          <w:sz w:val="24"/>
          <w:szCs w:val="24"/>
          <w:lang w:val="sq-AL"/>
        </w:rPr>
        <w:t>gjyqësor</w:t>
      </w:r>
      <w:r>
        <w:rPr>
          <w:rFonts w:ascii="Times New Roman" w:hAnsi="Times New Roman"/>
          <w:sz w:val="24"/>
          <w:szCs w:val="24"/>
          <w:lang w:val="sq-AL"/>
        </w:rPr>
        <w:t>”</w:t>
      </w:r>
      <w:r w:rsidRPr="00EE2DE7">
        <w:rPr>
          <w:rFonts w:ascii="Times New Roman" w:hAnsi="Times New Roman"/>
          <w:sz w:val="24"/>
          <w:szCs w:val="24"/>
          <w:lang w:val="sq-AL"/>
        </w:rPr>
        <w:t xml:space="preserve">. Aktiviteti u zhvillua në datat 13 dhe 14 </w:t>
      </w:r>
      <w:r>
        <w:rPr>
          <w:rFonts w:ascii="Times New Roman" w:hAnsi="Times New Roman"/>
          <w:sz w:val="24"/>
          <w:szCs w:val="24"/>
          <w:lang w:val="sq-AL"/>
        </w:rPr>
        <w:t>s</w:t>
      </w:r>
      <w:r w:rsidRPr="00EE2DE7">
        <w:rPr>
          <w:rFonts w:ascii="Times New Roman" w:hAnsi="Times New Roman"/>
          <w:sz w:val="24"/>
          <w:szCs w:val="24"/>
          <w:lang w:val="sq-AL"/>
        </w:rPr>
        <w:t>htator dhe Shkolla u përfaqësua në këtë aktivitet nga Drejtori i Shkollës, Kancelarja dhe Përgjegjësi p</w:t>
      </w:r>
      <w:r>
        <w:rPr>
          <w:rFonts w:ascii="Times New Roman" w:hAnsi="Times New Roman"/>
          <w:sz w:val="24"/>
          <w:szCs w:val="24"/>
          <w:lang w:val="sq-AL"/>
        </w:rPr>
        <w:t>ë</w:t>
      </w:r>
      <w:r w:rsidRPr="00EE2DE7">
        <w:rPr>
          <w:rFonts w:ascii="Times New Roman" w:hAnsi="Times New Roman"/>
          <w:sz w:val="24"/>
          <w:szCs w:val="24"/>
          <w:lang w:val="sq-AL"/>
        </w:rPr>
        <w:t>r Projektet dhe Marrëdhëniet me Jashtë.</w:t>
      </w:r>
    </w:p>
    <w:p w:rsidR="00353FCE" w:rsidRPr="00EE2DE7" w:rsidRDefault="00353FCE" w:rsidP="00353FCE">
      <w:pPr>
        <w:pStyle w:val="NoSpacing"/>
        <w:spacing w:line="276" w:lineRule="auto"/>
        <w:ind w:firstLine="720"/>
        <w:jc w:val="both"/>
        <w:rPr>
          <w:rFonts w:ascii="Times New Roman" w:hAnsi="Times New Roman"/>
          <w:sz w:val="24"/>
          <w:szCs w:val="24"/>
          <w:lang w:val="sq-AL"/>
        </w:rPr>
      </w:pPr>
      <w:r w:rsidRPr="00EE2DE7">
        <w:rPr>
          <w:rFonts w:ascii="Times New Roman" w:hAnsi="Times New Roman"/>
          <w:sz w:val="24"/>
          <w:szCs w:val="24"/>
          <w:lang w:val="sq-AL"/>
        </w:rPr>
        <w:t>Aktiviteti synoi të krijonte një ndërveprim strategjik dhe sistematik të institucioneve të trajnimit gjyqësor të rajonit për</w:t>
      </w:r>
      <w:r>
        <w:rPr>
          <w:rFonts w:ascii="Times New Roman" w:hAnsi="Times New Roman"/>
          <w:sz w:val="24"/>
          <w:szCs w:val="24"/>
          <w:lang w:val="sq-AL"/>
        </w:rPr>
        <w:t xml:space="preserve"> </w:t>
      </w:r>
      <w:r w:rsidRPr="00EE2DE7">
        <w:rPr>
          <w:rFonts w:ascii="Times New Roman" w:hAnsi="Times New Roman"/>
          <w:sz w:val="24"/>
          <w:szCs w:val="24"/>
          <w:lang w:val="sq-AL"/>
        </w:rPr>
        <w:t>sa i takon zbatimit të metodologjive dhe instrumenteve të trajnimit gjyqësor.</w:t>
      </w:r>
    </w:p>
    <w:p w:rsidR="00353FCE" w:rsidRPr="00EE2DE7" w:rsidRDefault="00353FCE" w:rsidP="00353FCE">
      <w:pPr>
        <w:pStyle w:val="NoSpacing"/>
        <w:jc w:val="both"/>
        <w:rPr>
          <w:rFonts w:ascii="Times New Roman" w:hAnsi="Times New Roman"/>
          <w:sz w:val="24"/>
          <w:szCs w:val="24"/>
          <w:lang w:val="sq-AL"/>
        </w:rPr>
      </w:pPr>
    </w:p>
    <w:p w:rsidR="00353FCE" w:rsidRPr="00EE2DE7" w:rsidRDefault="00353FCE" w:rsidP="00353FCE">
      <w:pPr>
        <w:pStyle w:val="NoSpacing"/>
        <w:jc w:val="center"/>
        <w:rPr>
          <w:rFonts w:asciiTheme="minorHAnsi" w:hAnsiTheme="minorHAnsi" w:cstheme="minorHAnsi"/>
          <w:lang w:val="sq-AL"/>
        </w:rPr>
      </w:pPr>
    </w:p>
    <w:p w:rsidR="00353FCE" w:rsidRPr="00EE2DE7" w:rsidRDefault="00353FCE" w:rsidP="00353FCE">
      <w:pPr>
        <w:autoSpaceDE w:val="0"/>
        <w:autoSpaceDN w:val="0"/>
        <w:adjustRightInd w:val="0"/>
        <w:jc w:val="both"/>
        <w:rPr>
          <w:rFonts w:eastAsia="Tw Cen MT"/>
          <w:b/>
          <w:color w:val="000000"/>
          <w:kern w:val="24"/>
        </w:rPr>
      </w:pPr>
    </w:p>
    <w:p w:rsidR="00353FCE" w:rsidRPr="00EE2DE7" w:rsidRDefault="00353FCE" w:rsidP="00353FCE">
      <w:pPr>
        <w:autoSpaceDE w:val="0"/>
        <w:autoSpaceDN w:val="0"/>
        <w:adjustRightInd w:val="0"/>
        <w:jc w:val="both"/>
        <w:rPr>
          <w:rFonts w:eastAsia="Tw Cen MT"/>
          <w:b/>
          <w:color w:val="000000"/>
          <w:kern w:val="24"/>
        </w:rPr>
      </w:pPr>
    </w:p>
    <w:p w:rsidR="00B3782C" w:rsidRDefault="00B3782C"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353FCE" w:rsidRDefault="00353FCE" w:rsidP="008D2205">
      <w:pPr>
        <w:spacing w:line="276" w:lineRule="auto"/>
        <w:jc w:val="both"/>
        <w:rPr>
          <w:b/>
          <w:color w:val="CC9966" w:themeColor="accent2"/>
          <w:sz w:val="32"/>
        </w:rPr>
      </w:pPr>
    </w:p>
    <w:p w:rsidR="00B3782C" w:rsidRDefault="00B3782C" w:rsidP="008D2205">
      <w:pPr>
        <w:spacing w:line="276" w:lineRule="auto"/>
        <w:jc w:val="both"/>
        <w:rPr>
          <w:b/>
          <w:color w:val="CC9966" w:themeColor="accent2"/>
          <w:sz w:val="32"/>
        </w:rPr>
      </w:pPr>
    </w:p>
    <w:p w:rsidR="00353FCE" w:rsidRPr="008D2205" w:rsidRDefault="00CF3AE0" w:rsidP="008D2205">
      <w:pPr>
        <w:spacing w:line="276" w:lineRule="auto"/>
        <w:jc w:val="both"/>
        <w:rPr>
          <w:b/>
          <w:color w:val="CC9966" w:themeColor="accent2"/>
          <w:sz w:val="32"/>
        </w:rPr>
      </w:pPr>
      <w:r>
        <w:rPr>
          <w:b/>
          <w:noProof/>
          <w:color w:val="CC9966" w:themeColor="accent2"/>
          <w:sz w:val="32"/>
          <w:lang w:eastAsia="en-US"/>
        </w:rPr>
        <w:pict>
          <v:rect id="_x0000_s1084" style="position:absolute;left:0;text-align:left;margin-left:-12.75pt;margin-top:-29.7pt;width:602.05pt;height:43.2pt;z-index:251748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" fillcolor="#4f81bd" stroked="f" strokeweight="2pt">
            <v:textbox>
              <w:txbxContent>
                <w:p w:rsidR="005372E3" w:rsidRPr="00E57AC8" w:rsidRDefault="005372E3" w:rsidP="00E57AC8">
                  <w:pPr>
                    <w:rPr>
                      <w:szCs w:val="56"/>
                    </w:rPr>
                  </w:pPr>
                  <w:r w:rsidRPr="00E57AC8">
                    <w:rPr>
                      <w:b/>
                      <w:color w:val="FFFFFF" w:themeColor="background1"/>
                      <w:sz w:val="56"/>
                      <w:szCs w:val="56"/>
                    </w:rPr>
                    <w:t>4. BOTIME, PUBLIKIME DHE STUDIME</w:t>
                  </w:r>
                </w:p>
              </w:txbxContent>
            </v:textbox>
          </v:rect>
        </w:pict>
      </w:r>
    </w:p>
    <w:p w:rsidR="00E57AC8" w:rsidRDefault="00E57AC8" w:rsidP="00386F89">
      <w:pPr>
        <w:tabs>
          <w:tab w:val="left" w:pos="10260"/>
        </w:tabs>
        <w:ind w:firstLine="360"/>
        <w:jc w:val="both"/>
      </w:pPr>
    </w:p>
    <w:p w:rsidR="00E57AC8" w:rsidRPr="00E57AC8" w:rsidRDefault="00E57AC8" w:rsidP="00E57AC8">
      <w:pPr>
        <w:spacing w:line="276" w:lineRule="auto"/>
        <w:jc w:val="both"/>
        <w:rPr>
          <w:b/>
          <w:noProof/>
          <w:color w:val="CC9966" w:themeColor="accent2"/>
          <w:sz w:val="32"/>
          <w:lang w:eastAsia="en-US"/>
        </w:rPr>
      </w:pPr>
      <w:r w:rsidRPr="00E57AC8">
        <w:rPr>
          <w:b/>
          <w:noProof/>
          <w:color w:val="CC9966" w:themeColor="accent2"/>
          <w:sz w:val="32"/>
          <w:lang w:eastAsia="en-US"/>
        </w:rPr>
        <w:t>4.1 Botime të revistës “Jeta Juridike” për vitin akademik 2017-2018</w:t>
      </w:r>
    </w:p>
    <w:p w:rsidR="00E57AC8" w:rsidRDefault="00E57AC8" w:rsidP="00E57AC8">
      <w:pPr>
        <w:tabs>
          <w:tab w:val="left" w:pos="10260"/>
        </w:tabs>
        <w:jc w:val="both"/>
      </w:pPr>
    </w:p>
    <w:p w:rsidR="00E57AC8" w:rsidRPr="00EE2DE7" w:rsidRDefault="00E57AC8" w:rsidP="00E57AC8">
      <w:pPr>
        <w:spacing w:line="276" w:lineRule="auto"/>
        <w:ind w:firstLine="720"/>
        <w:jc w:val="both"/>
        <w:rPr>
          <w:rFonts w:eastAsia="Tw Cen MT"/>
          <w:kern w:val="24"/>
        </w:rPr>
      </w:pPr>
      <w:r w:rsidRPr="00EE2DE7">
        <w:rPr>
          <w:rFonts w:eastAsia="Tw Cen MT"/>
          <w:kern w:val="24"/>
        </w:rPr>
        <w:t>Shkolla e Magjistraturës botoi nën emrin dhe kujdesin e saj revistën “</w:t>
      </w:r>
      <w:r w:rsidRPr="003433EE">
        <w:rPr>
          <w:rFonts w:eastAsia="Tw Cen MT"/>
          <w:i/>
          <w:kern w:val="24"/>
        </w:rPr>
        <w:t>Jeta Juridike</w:t>
      </w:r>
      <w:r w:rsidRPr="00EE2DE7">
        <w:rPr>
          <w:rFonts w:eastAsia="Tw Cen MT"/>
          <w:kern w:val="24"/>
        </w:rPr>
        <w:t xml:space="preserve">”, revistë periodike tremujore, </w:t>
      </w:r>
      <w:r>
        <w:rPr>
          <w:rFonts w:eastAsia="Tw Cen MT"/>
          <w:kern w:val="24"/>
        </w:rPr>
        <w:t>që botohet në shqip dhe anglisht</w:t>
      </w:r>
      <w:r w:rsidRPr="00EE2DE7">
        <w:rPr>
          <w:rFonts w:eastAsia="Tw Cen MT"/>
          <w:kern w:val="24"/>
        </w:rPr>
        <w:t xml:space="preserve">. </w:t>
      </w:r>
    </w:p>
    <w:p w:rsidR="00E57AC8" w:rsidRPr="00EE2DE7" w:rsidRDefault="00E57AC8" w:rsidP="00E57AC8">
      <w:pPr>
        <w:autoSpaceDE w:val="0"/>
        <w:autoSpaceDN w:val="0"/>
        <w:adjustRightInd w:val="0"/>
        <w:spacing w:line="276" w:lineRule="auto"/>
        <w:ind w:firstLine="720"/>
        <w:jc w:val="both"/>
        <w:rPr>
          <w:rFonts w:eastAsia="Tw Cen MT"/>
          <w:b/>
          <w:kern w:val="24"/>
        </w:rPr>
      </w:pPr>
      <w:r w:rsidRPr="00EE2DE7">
        <w:rPr>
          <w:rFonts w:eastAsia="Tw Cen MT"/>
          <w:kern w:val="24"/>
        </w:rPr>
        <w:t>Gjatë vitit akademik 2017-2018 janë botuar 3 numra të revistës “Jeta Juridike”, nr. 3, viti 2017,  nr. 1, viti 2018, nr. 2, viti 2018. Botimi i këtyre numrave për këtë vit akademik është financuar nga buxheti i shtetit.</w:t>
      </w:r>
    </w:p>
    <w:p w:rsidR="00E57AC8" w:rsidRPr="00EE2DE7" w:rsidRDefault="00E57AC8" w:rsidP="00E57AC8">
      <w:pPr>
        <w:spacing w:line="276" w:lineRule="auto"/>
        <w:ind w:firstLine="720"/>
        <w:jc w:val="both"/>
        <w:rPr>
          <w:rFonts w:eastAsia="Tw Cen MT"/>
          <w:kern w:val="24"/>
          <w:lang w:eastAsia="en-GB"/>
        </w:rPr>
      </w:pPr>
      <w:r w:rsidRPr="00EE2DE7">
        <w:rPr>
          <w:rFonts w:eastAsia="Tw Cen MT"/>
          <w:b/>
          <w:kern w:val="24"/>
        </w:rPr>
        <w:t>Bordi i Redaktorëve të Botimeve.</w:t>
      </w:r>
      <w:r w:rsidRPr="00EE2DE7">
        <w:rPr>
          <w:rFonts w:eastAsia="Tw Cen MT"/>
          <w:kern w:val="24"/>
        </w:rPr>
        <w:t xml:space="preserve"> Botimet e revistës “Jeta Juridike” dhe të teksteve realizohen me vendim të Bordit të Redaktorëve. Ky është një organ vendimmarrës që përbëhet nga 7-9 anëtarë</w:t>
      </w:r>
      <w:r w:rsidRPr="00EE2DE7">
        <w:rPr>
          <w:rFonts w:eastAsia="Tw Cen MT"/>
          <w:kern w:val="24"/>
          <w:lang w:eastAsia="en-GB"/>
        </w:rPr>
        <w:t xml:space="preserve">, të cilët propozohen nga </w:t>
      </w:r>
      <w:r>
        <w:rPr>
          <w:rFonts w:eastAsia="Tw Cen MT"/>
          <w:kern w:val="24"/>
          <w:lang w:eastAsia="en-GB"/>
        </w:rPr>
        <w:t>D</w:t>
      </w:r>
      <w:r w:rsidRPr="00EE2DE7">
        <w:rPr>
          <w:rFonts w:eastAsia="Tw Cen MT"/>
          <w:kern w:val="24"/>
          <w:lang w:eastAsia="en-GB"/>
        </w:rPr>
        <w:t>rejtori i Shkollës së Magjistraturës dhe miratohen nga Këshilli Drejtues i saj. Kriteret e përzgjedhjes së tyre janë përc</w:t>
      </w:r>
      <w:r>
        <w:rPr>
          <w:rFonts w:eastAsia="Tw Cen MT"/>
          <w:kern w:val="24"/>
          <w:lang w:eastAsia="en-GB"/>
        </w:rPr>
        <w:t>aktuar në VKM-në nr. 241, datë 6.</w:t>
      </w:r>
      <w:r w:rsidRPr="00EE2DE7">
        <w:rPr>
          <w:rFonts w:eastAsia="Tw Cen MT"/>
          <w:kern w:val="24"/>
          <w:lang w:eastAsia="en-GB"/>
        </w:rPr>
        <w:t>4.2011 “</w:t>
      </w:r>
      <w:r w:rsidRPr="00EE2DE7">
        <w:rPr>
          <w:rFonts w:eastAsia="Tw Cen MT"/>
          <w:i/>
          <w:kern w:val="24"/>
          <w:lang w:eastAsia="en-GB"/>
        </w:rPr>
        <w:t>Për veprimtarinë akademike, në zbatimin e programit të Formimit Fillestar dhe Vazhdues në Shkollën e Magjistraturës</w:t>
      </w:r>
      <w:r w:rsidRPr="00EE2DE7">
        <w:rPr>
          <w:rFonts w:eastAsia="Tw Cen MT"/>
          <w:kern w:val="24"/>
          <w:lang w:eastAsia="en-GB"/>
        </w:rPr>
        <w:t xml:space="preserve">”. </w:t>
      </w:r>
    </w:p>
    <w:p w:rsidR="00E57AC8" w:rsidRPr="00EE2DE7" w:rsidRDefault="00E57AC8" w:rsidP="00E57AC8">
      <w:pPr>
        <w:spacing w:line="276" w:lineRule="auto"/>
        <w:ind w:firstLine="720"/>
        <w:jc w:val="both"/>
        <w:rPr>
          <w:rFonts w:eastAsia="Tw Cen MT"/>
          <w:b/>
          <w:kern w:val="24"/>
        </w:rPr>
      </w:pPr>
      <w:r w:rsidRPr="00EE2DE7">
        <w:rPr>
          <w:rFonts w:eastAsia="Tw Cen MT"/>
          <w:b/>
          <w:kern w:val="24"/>
        </w:rPr>
        <w:t>Bordi i Redaktorëve</w:t>
      </w:r>
      <w:r w:rsidRPr="00EE2DE7">
        <w:rPr>
          <w:rFonts w:eastAsia="Tw Cen MT"/>
          <w:kern w:val="24"/>
        </w:rPr>
        <w:t xml:space="preserve"> të </w:t>
      </w:r>
      <w:r>
        <w:rPr>
          <w:rFonts w:eastAsia="Tw Cen MT"/>
          <w:kern w:val="24"/>
        </w:rPr>
        <w:t>revistës “Jeta</w:t>
      </w:r>
      <w:r w:rsidRPr="00EE2DE7">
        <w:rPr>
          <w:rFonts w:eastAsia="Tw Cen MT"/>
          <w:kern w:val="24"/>
        </w:rPr>
        <w:t xml:space="preserve"> Juridike”, në përbërjen e vet ka 9 (nëntë) anëtarë si më poshtë, që është miratuar nga Këshilli Drejtues me vendimin nr. 17, datë 17.12.2014</w:t>
      </w:r>
      <w:r>
        <w:rPr>
          <w:rFonts w:eastAsia="Tw Cen MT"/>
          <w:kern w:val="24"/>
        </w:rPr>
        <w:t>,</w:t>
      </w:r>
      <w:r w:rsidRPr="00EE2DE7">
        <w:rPr>
          <w:rFonts w:eastAsia="Tw Cen MT"/>
          <w:kern w:val="24"/>
        </w:rPr>
        <w:t xml:space="preserve"> </w:t>
      </w:r>
      <w:r>
        <w:rPr>
          <w:rFonts w:eastAsia="Tw Cen MT"/>
          <w:b/>
          <w:kern w:val="24"/>
        </w:rPr>
        <w:t>“</w:t>
      </w:r>
      <w:r w:rsidRPr="003433EE">
        <w:rPr>
          <w:rFonts w:eastAsia="Tw Cen MT"/>
          <w:i/>
          <w:kern w:val="24"/>
        </w:rPr>
        <w:t>Për caktimin e anëtarëve të Bordit të Redaktorëve të revistës “Jeta Juridike” (i ndryshuar)</w:t>
      </w:r>
      <w:r>
        <w:rPr>
          <w:rFonts w:eastAsia="Tw Cen MT"/>
          <w:kern w:val="24"/>
        </w:rPr>
        <w:t>”</w:t>
      </w:r>
      <w:r w:rsidRPr="00EE2DE7">
        <w:rPr>
          <w:rFonts w:eastAsia="Tw Cen MT"/>
          <w:kern w:val="24"/>
        </w:rPr>
        <w:t xml:space="preserve">. </w:t>
      </w:r>
      <w:r w:rsidRPr="00EE2DE7">
        <w:rPr>
          <w:rFonts w:eastAsia="Tw Cen MT"/>
          <w:b/>
          <w:kern w:val="24"/>
        </w:rPr>
        <w:t xml:space="preserve"> </w:t>
      </w:r>
    </w:p>
    <w:p w:rsidR="00E57AC8" w:rsidRPr="00EE2DE7" w:rsidRDefault="00E57AC8" w:rsidP="00E57AC8">
      <w:pPr>
        <w:shd w:val="clear" w:color="auto" w:fill="FFFFFF"/>
        <w:ind w:left="720"/>
        <w:rPr>
          <w:rFonts w:eastAsia="Times New Roman"/>
          <w:color w:val="222222"/>
        </w:rPr>
      </w:pPr>
      <w:r w:rsidRPr="00EE2DE7">
        <w:rPr>
          <w:rFonts w:eastAsia="Times New Roman"/>
          <w:color w:val="222222"/>
        </w:rPr>
        <w:br/>
        <w:t>Prof. dr.  Xhezair ZAGANJORI</w:t>
      </w:r>
    </w:p>
    <w:p w:rsidR="00E57AC8" w:rsidRPr="00EE2DE7" w:rsidRDefault="00E57AC8" w:rsidP="00E57AC8">
      <w:pPr>
        <w:shd w:val="clear" w:color="auto" w:fill="FFFFFF"/>
        <w:ind w:firstLine="720"/>
        <w:rPr>
          <w:rFonts w:eastAsia="Times New Roman"/>
          <w:color w:val="222222"/>
        </w:rPr>
      </w:pPr>
      <w:r w:rsidRPr="00EE2DE7">
        <w:rPr>
          <w:rFonts w:eastAsia="Times New Roman"/>
          <w:color w:val="222222"/>
        </w:rPr>
        <w:t>Prof. asoc.</w:t>
      </w:r>
      <w:r>
        <w:rPr>
          <w:rFonts w:eastAsia="Times New Roman"/>
          <w:color w:val="222222"/>
        </w:rPr>
        <w:t xml:space="preserve"> </w:t>
      </w:r>
      <w:r w:rsidRPr="00EE2DE7">
        <w:rPr>
          <w:rFonts w:eastAsia="Times New Roman"/>
          <w:color w:val="222222"/>
        </w:rPr>
        <w:t>dr. Sokol SADUSHI</w:t>
      </w:r>
    </w:p>
    <w:p w:rsidR="00E57AC8" w:rsidRPr="00EE2DE7" w:rsidRDefault="00E57AC8" w:rsidP="00E57AC8">
      <w:pPr>
        <w:shd w:val="clear" w:color="auto" w:fill="FFFFFF"/>
        <w:ind w:firstLine="720"/>
        <w:rPr>
          <w:rFonts w:eastAsia="Times New Roman"/>
          <w:color w:val="222222"/>
        </w:rPr>
      </w:pPr>
      <w:r w:rsidRPr="00EE2DE7">
        <w:rPr>
          <w:rFonts w:eastAsia="Times New Roman"/>
          <w:color w:val="222222"/>
        </w:rPr>
        <w:t>Prof. dr. Aurela ANASTAS</w:t>
      </w:r>
    </w:p>
    <w:p w:rsidR="00E57AC8" w:rsidRPr="00EE2DE7" w:rsidRDefault="00E57AC8" w:rsidP="00E57AC8">
      <w:pPr>
        <w:shd w:val="clear" w:color="auto" w:fill="FFFFFF"/>
        <w:ind w:firstLine="720"/>
        <w:rPr>
          <w:rFonts w:eastAsia="Times New Roman"/>
          <w:color w:val="222222"/>
        </w:rPr>
      </w:pPr>
      <w:r w:rsidRPr="00EE2DE7">
        <w:rPr>
          <w:rFonts w:eastAsia="Times New Roman"/>
          <w:color w:val="222222"/>
        </w:rPr>
        <w:t>Prof. dr. Mariana SEMINI</w:t>
      </w:r>
    </w:p>
    <w:p w:rsidR="00E57AC8" w:rsidRPr="00EE2DE7" w:rsidRDefault="00E57AC8" w:rsidP="00E57AC8">
      <w:pPr>
        <w:shd w:val="clear" w:color="auto" w:fill="FFFFFF"/>
        <w:ind w:firstLine="720"/>
        <w:rPr>
          <w:rFonts w:eastAsia="Times New Roman"/>
          <w:color w:val="222222"/>
        </w:rPr>
      </w:pPr>
      <w:r w:rsidRPr="00EE2DE7">
        <w:rPr>
          <w:rFonts w:eastAsia="Times New Roman"/>
          <w:color w:val="222222"/>
        </w:rPr>
        <w:t>Prof. dr. Arta MANDRO</w:t>
      </w:r>
    </w:p>
    <w:p w:rsidR="00E57AC8" w:rsidRPr="00EE2DE7" w:rsidRDefault="00E57AC8" w:rsidP="00E57AC8">
      <w:pPr>
        <w:shd w:val="clear" w:color="auto" w:fill="FFFFFF"/>
        <w:ind w:firstLine="720"/>
        <w:rPr>
          <w:rFonts w:eastAsia="Times New Roman"/>
          <w:color w:val="222222"/>
        </w:rPr>
      </w:pPr>
      <w:r w:rsidRPr="00EE2DE7">
        <w:rPr>
          <w:rFonts w:eastAsia="Times New Roman"/>
          <w:color w:val="222222"/>
        </w:rPr>
        <w:t>Prof. dr. Argita MALLTEZI</w:t>
      </w:r>
    </w:p>
    <w:p w:rsidR="00E57AC8" w:rsidRPr="00EE2DE7" w:rsidRDefault="00E57AC8" w:rsidP="00E57AC8">
      <w:pPr>
        <w:shd w:val="clear" w:color="auto" w:fill="FFFFFF"/>
        <w:ind w:firstLine="720"/>
        <w:rPr>
          <w:rFonts w:eastAsia="Times New Roman"/>
          <w:color w:val="222222"/>
        </w:rPr>
      </w:pPr>
      <w:r w:rsidRPr="00EE2DE7">
        <w:rPr>
          <w:rFonts w:eastAsia="Times New Roman"/>
          <w:color w:val="222222"/>
        </w:rPr>
        <w:t>Prof. dr. Skënder KAÇUPI</w:t>
      </w:r>
    </w:p>
    <w:p w:rsidR="00E57AC8" w:rsidRPr="00EE2DE7" w:rsidRDefault="00E57AC8" w:rsidP="00E57AC8">
      <w:pPr>
        <w:shd w:val="clear" w:color="auto" w:fill="FFFFFF"/>
        <w:ind w:firstLine="720"/>
        <w:rPr>
          <w:rFonts w:eastAsia="Times New Roman"/>
          <w:color w:val="222222"/>
        </w:rPr>
      </w:pPr>
      <w:r w:rsidRPr="00EE2DE7">
        <w:rPr>
          <w:rFonts w:eastAsia="Times New Roman"/>
          <w:color w:val="222222"/>
        </w:rPr>
        <w:t>Prof. dr. Eralda MET'HASANI</w:t>
      </w:r>
    </w:p>
    <w:p w:rsidR="00E57AC8" w:rsidRPr="00EE2DE7" w:rsidRDefault="00E57AC8" w:rsidP="00E57AC8">
      <w:pPr>
        <w:shd w:val="clear" w:color="auto" w:fill="FFFFFF"/>
        <w:ind w:firstLine="720"/>
        <w:rPr>
          <w:rFonts w:eastAsia="Times New Roman"/>
          <w:color w:val="222222"/>
        </w:rPr>
      </w:pPr>
      <w:r>
        <w:rPr>
          <w:rFonts w:eastAsia="Times New Roman"/>
          <w:color w:val="222222"/>
        </w:rPr>
        <w:t>Z. Dashamir KORE</w:t>
      </w:r>
    </w:p>
    <w:p w:rsidR="00E57AC8" w:rsidRPr="00EE2DE7" w:rsidRDefault="00E57AC8" w:rsidP="00E57AC8">
      <w:pPr>
        <w:autoSpaceDE w:val="0"/>
        <w:autoSpaceDN w:val="0"/>
        <w:adjustRightInd w:val="0"/>
        <w:spacing w:line="276" w:lineRule="auto"/>
        <w:rPr>
          <w:rFonts w:eastAsia="Tw Cen MT"/>
          <w:kern w:val="24"/>
        </w:rPr>
      </w:pPr>
    </w:p>
    <w:p w:rsidR="00E57AC8" w:rsidRPr="00EE2DE7" w:rsidRDefault="00E57AC8" w:rsidP="00E57AC8">
      <w:pPr>
        <w:autoSpaceDE w:val="0"/>
        <w:autoSpaceDN w:val="0"/>
        <w:adjustRightInd w:val="0"/>
        <w:spacing w:after="200" w:line="276" w:lineRule="auto"/>
        <w:jc w:val="both"/>
        <w:rPr>
          <w:rFonts w:eastAsia="Tw Cen MT"/>
          <w:b/>
          <w:kern w:val="24"/>
        </w:rPr>
      </w:pPr>
      <w:r w:rsidRPr="00EE2DE7">
        <w:rPr>
          <w:rFonts w:eastAsia="Tw Cen MT"/>
          <w:b/>
          <w:kern w:val="24"/>
        </w:rPr>
        <w:t>Struktura e revistës</w:t>
      </w:r>
    </w:p>
    <w:p w:rsidR="00E57AC8" w:rsidRPr="00EE2DE7" w:rsidRDefault="00E57AC8" w:rsidP="00E57AC8">
      <w:pPr>
        <w:autoSpaceDE w:val="0"/>
        <w:autoSpaceDN w:val="0"/>
        <w:adjustRightInd w:val="0"/>
        <w:spacing w:after="200" w:line="276" w:lineRule="auto"/>
        <w:ind w:firstLine="360"/>
        <w:jc w:val="both"/>
        <w:rPr>
          <w:rFonts w:eastAsia="Tw Cen MT"/>
          <w:kern w:val="24"/>
        </w:rPr>
      </w:pPr>
      <w:r w:rsidRPr="00EE2DE7">
        <w:rPr>
          <w:rFonts w:eastAsia="Tw Cen MT"/>
          <w:kern w:val="24"/>
        </w:rPr>
        <w:t>Struktura e revistës “Jeta Juridike”, miratuar nga Bordi i Redaktorëve, vazhdon të jetë e njëjtë me rubrikat si më poshtë:</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t>Rubrika 1 - Artikuj teorikë.</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t>Rubrika 2 – Opinione dhe debat juridik.</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t>Rubrika 3 – Njohje me legjislacionin e ri.</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t>Rubrika 4 – Njohje me praktikën gjyqësore.</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t>Rubrika 5 – Njohje me përvojën ndërkombëtare teorike dhe praktike.</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t>Rubrika 6 – Shkrime nga juristë të rinj.</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t>Rubrika 7 – Aktivitete të Shkollës së Magjistraturës</w:t>
      </w:r>
      <w:r>
        <w:rPr>
          <w:rFonts w:eastAsia="Tw Cen MT"/>
          <w:kern w:val="24"/>
        </w:rPr>
        <w:t xml:space="preserve">. </w:t>
      </w:r>
      <w:r w:rsidRPr="00EE2DE7">
        <w:rPr>
          <w:rFonts w:eastAsia="Tw Cen MT"/>
          <w:kern w:val="24"/>
        </w:rPr>
        <w:t xml:space="preserve"> </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bCs/>
          <w:iCs/>
          <w:kern w:val="24"/>
        </w:rPr>
        <w:t xml:space="preserve">Rubrika 8 – Artikuj të spikatur </w:t>
      </w:r>
      <w:r w:rsidRPr="00EE2DE7">
        <w:rPr>
          <w:rFonts w:eastAsia="Tw Cen MT"/>
          <w:kern w:val="24"/>
        </w:rPr>
        <w:t>“</w:t>
      </w:r>
      <w:r w:rsidRPr="003433EE">
        <w:rPr>
          <w:rFonts w:eastAsia="Tw Cen MT"/>
          <w:i/>
          <w:kern w:val="24"/>
        </w:rPr>
        <w:t>Botime e artikuj të përkthyer nga periodikë të ndryshëm ndërkombëtarë</w:t>
      </w:r>
      <w:r w:rsidRPr="00EE2DE7">
        <w:rPr>
          <w:rFonts w:eastAsia="Tw Cen MT"/>
          <w:kern w:val="24"/>
        </w:rPr>
        <w:t xml:space="preserve">”. </w:t>
      </w:r>
    </w:p>
    <w:p w:rsidR="00E57AC8" w:rsidRPr="00EE2DE7" w:rsidRDefault="00E57AC8" w:rsidP="00E57AC8">
      <w:pPr>
        <w:numPr>
          <w:ilvl w:val="0"/>
          <w:numId w:val="39"/>
        </w:numPr>
        <w:autoSpaceDE w:val="0"/>
        <w:autoSpaceDN w:val="0"/>
        <w:adjustRightInd w:val="0"/>
        <w:jc w:val="both"/>
        <w:rPr>
          <w:rFonts w:eastAsia="Tw Cen MT"/>
          <w:kern w:val="24"/>
        </w:rPr>
      </w:pPr>
      <w:r w:rsidRPr="00EE2DE7">
        <w:rPr>
          <w:rFonts w:eastAsia="Tw Cen MT"/>
          <w:kern w:val="24"/>
        </w:rPr>
        <w:lastRenderedPageBreak/>
        <w:t>Artikujt e rubrikave të mësipërme përkthehen të gjith</w:t>
      </w:r>
      <w:r>
        <w:rPr>
          <w:rFonts w:eastAsia="Tw Cen MT"/>
          <w:kern w:val="24"/>
        </w:rPr>
        <w:t>a</w:t>
      </w:r>
      <w:r w:rsidRPr="00EE2DE7">
        <w:rPr>
          <w:rFonts w:eastAsia="Tw Cen MT"/>
          <w:kern w:val="24"/>
        </w:rPr>
        <w:t xml:space="preserve"> në anglisht. </w:t>
      </w:r>
    </w:p>
    <w:p w:rsidR="00E57AC8" w:rsidRPr="00EE2DE7" w:rsidRDefault="00E57AC8" w:rsidP="00E57AC8">
      <w:pPr>
        <w:autoSpaceDE w:val="0"/>
        <w:autoSpaceDN w:val="0"/>
        <w:adjustRightInd w:val="0"/>
        <w:ind w:left="720"/>
        <w:jc w:val="both"/>
        <w:rPr>
          <w:rFonts w:eastAsia="Tw Cen MT"/>
          <w:kern w:val="24"/>
        </w:rPr>
      </w:pPr>
    </w:p>
    <w:p w:rsidR="00E57AC8" w:rsidRPr="00EE2DE7" w:rsidRDefault="00E57AC8" w:rsidP="00E57AC8">
      <w:pPr>
        <w:autoSpaceDE w:val="0"/>
        <w:autoSpaceDN w:val="0"/>
        <w:adjustRightInd w:val="0"/>
        <w:spacing w:after="200" w:line="276" w:lineRule="auto"/>
        <w:ind w:firstLine="720"/>
        <w:jc w:val="both"/>
        <w:rPr>
          <w:rFonts w:eastAsia="Tw Cen MT"/>
          <w:kern w:val="24"/>
        </w:rPr>
      </w:pPr>
      <w:r w:rsidRPr="00EE2DE7">
        <w:rPr>
          <w:rFonts w:eastAsia="Tw Cen MT"/>
          <w:kern w:val="24"/>
        </w:rPr>
        <w:t>Revista për vitet 2017-2018 përmban rreth 300 faqe, shqip dhe anglisht (+/- 10 faqe); botohet në një tirazh prej 300 kopjesh dhe kopertina pasqyron emblemën (logon) e Shkollës së Magjistraturës. Si përfitues të botimit shkencor “Jeta Juridike” janë identifikuar gjyqtarët dhe prokurorët në të gjithë vendin, si dhe studentët e Shkollës së Magjistraturës, pa lënë mënjanë edhe studentët e drejtësisë, avokatët, noterët, juristët e institucioneve dhe organizatave etj.</w:t>
      </w:r>
    </w:p>
    <w:p w:rsidR="00E57AC8" w:rsidRPr="00EE2DE7" w:rsidRDefault="00E57AC8" w:rsidP="00E57AC8">
      <w:pPr>
        <w:autoSpaceDE w:val="0"/>
        <w:autoSpaceDN w:val="0"/>
        <w:adjustRightInd w:val="0"/>
        <w:spacing w:after="200" w:line="276" w:lineRule="auto"/>
        <w:jc w:val="both"/>
        <w:rPr>
          <w:rFonts w:eastAsia="Tw Cen MT"/>
          <w:b/>
          <w:kern w:val="24"/>
        </w:rPr>
      </w:pPr>
      <w:r w:rsidRPr="00EE2DE7">
        <w:rPr>
          <w:rFonts w:eastAsia="Tw Cen MT"/>
          <w:b/>
          <w:kern w:val="24"/>
        </w:rPr>
        <w:t>Kriteret e zbatuara për artikujt</w:t>
      </w:r>
    </w:p>
    <w:p w:rsidR="00E57AC8" w:rsidRPr="00EE2DE7" w:rsidRDefault="00E57AC8" w:rsidP="00E57AC8">
      <w:pPr>
        <w:autoSpaceDE w:val="0"/>
        <w:autoSpaceDN w:val="0"/>
        <w:adjustRightInd w:val="0"/>
        <w:spacing w:after="200" w:line="276" w:lineRule="auto"/>
        <w:ind w:firstLine="720"/>
        <w:jc w:val="both"/>
        <w:rPr>
          <w:rFonts w:eastAsia="Tw Cen MT"/>
          <w:kern w:val="24"/>
        </w:rPr>
      </w:pPr>
      <w:r w:rsidRPr="00EE2DE7">
        <w:rPr>
          <w:rFonts w:eastAsia="Tw Cen MT"/>
          <w:kern w:val="24"/>
        </w:rPr>
        <w:t xml:space="preserve">Bordi i Redaktorëve ka miratuar Rregulloren e revistës “Jeta Juridike” si dhe ka adoptuar standarde të larta përzgjedhjeje për artikujt që janë botuar në </w:t>
      </w:r>
      <w:r>
        <w:rPr>
          <w:rFonts w:eastAsia="Tw Cen MT"/>
          <w:kern w:val="24"/>
        </w:rPr>
        <w:t xml:space="preserve">këtë revistë. </w:t>
      </w:r>
      <w:r w:rsidRPr="00EE2DE7">
        <w:rPr>
          <w:rFonts w:eastAsia="Tw Cen MT"/>
          <w:kern w:val="24"/>
        </w:rPr>
        <w:t>Kështu disa nga kriteret e zbatuara kanë qenë dhe janë:</w:t>
      </w:r>
    </w:p>
    <w:p w:rsidR="00E57AC8" w:rsidRPr="00EE2DE7" w:rsidRDefault="00E57AC8" w:rsidP="00E57AC8">
      <w:pPr>
        <w:numPr>
          <w:ilvl w:val="0"/>
          <w:numId w:val="38"/>
        </w:numPr>
        <w:autoSpaceDE w:val="0"/>
        <w:autoSpaceDN w:val="0"/>
        <w:adjustRightInd w:val="0"/>
        <w:spacing w:line="276" w:lineRule="auto"/>
        <w:ind w:hanging="436"/>
        <w:jc w:val="both"/>
        <w:rPr>
          <w:rFonts w:eastAsia="Tw Cen MT"/>
          <w:kern w:val="24"/>
        </w:rPr>
      </w:pPr>
      <w:r w:rsidRPr="00EE2DE7">
        <w:rPr>
          <w:rFonts w:eastAsia="Tw Cen MT"/>
          <w:kern w:val="24"/>
        </w:rPr>
        <w:t xml:space="preserve">Përzgjedhja e shkrimeve nga personalitete të jetës juridike shqiptare. </w:t>
      </w:r>
    </w:p>
    <w:p w:rsidR="00E57AC8" w:rsidRPr="00EE2DE7" w:rsidRDefault="00EF3D3E" w:rsidP="00E57AC8">
      <w:pPr>
        <w:numPr>
          <w:ilvl w:val="0"/>
          <w:numId w:val="38"/>
        </w:numPr>
        <w:tabs>
          <w:tab w:val="num" w:pos="0"/>
        </w:tabs>
        <w:autoSpaceDE w:val="0"/>
        <w:autoSpaceDN w:val="0"/>
        <w:adjustRightInd w:val="0"/>
        <w:spacing w:line="276" w:lineRule="auto"/>
        <w:ind w:left="0" w:firstLine="284"/>
        <w:jc w:val="both"/>
        <w:rPr>
          <w:rFonts w:eastAsia="Tw Cen MT"/>
          <w:kern w:val="24"/>
        </w:rPr>
      </w:pPr>
      <w:r>
        <w:rPr>
          <w:rFonts w:eastAsia="Tw Cen MT"/>
          <w:noProof/>
          <w:kern w:val="24"/>
          <w:lang w:eastAsia="en-US"/>
        </w:rPr>
        <w:drawing>
          <wp:anchor distT="0" distB="0" distL="114300" distR="114300" simplePos="0" relativeHeight="251749888" behindDoc="0" locked="0" layoutInCell="1" allowOverlap="1">
            <wp:simplePos x="0" y="0"/>
            <wp:positionH relativeFrom="margin">
              <wp:align>right</wp:align>
            </wp:positionH>
            <wp:positionV relativeFrom="margin">
              <wp:posOffset>3082290</wp:posOffset>
            </wp:positionV>
            <wp:extent cx="2137410" cy="2727960"/>
            <wp:effectExtent l="19050" t="0" r="0" b="0"/>
            <wp:wrapSquare wrapText="bothSides"/>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l="4809" t="4720" r="4692" b="6426"/>
                    <a:stretch>
                      <a:fillRect/>
                    </a:stretch>
                  </pic:blipFill>
                  <pic:spPr bwMode="auto">
                    <a:xfrm>
                      <a:off x="0" y="0"/>
                      <a:ext cx="2137410" cy="2727960"/>
                    </a:xfrm>
                    <a:prstGeom prst="rect">
                      <a:avLst/>
                    </a:prstGeom>
                    <a:noFill/>
                    <a:ln w="9525">
                      <a:noFill/>
                      <a:miter lim="800000"/>
                      <a:headEnd/>
                      <a:tailEnd/>
                    </a:ln>
                  </pic:spPr>
                </pic:pic>
              </a:graphicData>
            </a:graphic>
          </wp:anchor>
        </w:drawing>
      </w:r>
      <w:r w:rsidR="00E57AC8" w:rsidRPr="00EE2DE7">
        <w:rPr>
          <w:rFonts w:eastAsia="Tw Cen MT"/>
          <w:kern w:val="24"/>
        </w:rPr>
        <w:t xml:space="preserve">Heterogjeniteti i autorëve. Kështu revista pasqyron shkrime nga juristë të moshave të ndryshme, të profileve të ndryshme, të rretheve të ndryshme dhe madje edhe të huaj; </w:t>
      </w:r>
    </w:p>
    <w:p w:rsidR="00E57AC8" w:rsidRPr="00EE2DE7" w:rsidRDefault="00E57AC8" w:rsidP="00E57AC8">
      <w:pPr>
        <w:numPr>
          <w:ilvl w:val="0"/>
          <w:numId w:val="38"/>
        </w:numPr>
        <w:tabs>
          <w:tab w:val="num" w:pos="0"/>
        </w:tabs>
        <w:autoSpaceDE w:val="0"/>
        <w:autoSpaceDN w:val="0"/>
        <w:adjustRightInd w:val="0"/>
        <w:spacing w:line="276" w:lineRule="auto"/>
        <w:ind w:left="0" w:firstLine="284"/>
        <w:jc w:val="both"/>
        <w:rPr>
          <w:rFonts w:eastAsia="Tw Cen MT"/>
          <w:kern w:val="24"/>
        </w:rPr>
      </w:pPr>
      <w:r w:rsidRPr="00EE2DE7">
        <w:rPr>
          <w:rFonts w:eastAsia="Tw Cen MT"/>
          <w:kern w:val="24"/>
        </w:rPr>
        <w:t>Larmia e temave që prekin aspekte të ndryshme të teorisë dhe praktikës së të drejtës.</w:t>
      </w:r>
    </w:p>
    <w:p w:rsidR="00E57AC8" w:rsidRPr="00EE2DE7" w:rsidRDefault="00E57AC8" w:rsidP="00E57AC8">
      <w:pPr>
        <w:numPr>
          <w:ilvl w:val="0"/>
          <w:numId w:val="38"/>
        </w:numPr>
        <w:tabs>
          <w:tab w:val="num" w:pos="0"/>
        </w:tabs>
        <w:autoSpaceDE w:val="0"/>
        <w:autoSpaceDN w:val="0"/>
        <w:adjustRightInd w:val="0"/>
        <w:spacing w:line="276" w:lineRule="auto"/>
        <w:ind w:left="0" w:firstLine="284"/>
        <w:jc w:val="both"/>
        <w:rPr>
          <w:rFonts w:eastAsia="Tw Cen MT"/>
          <w:kern w:val="24"/>
        </w:rPr>
      </w:pPr>
      <w:r w:rsidRPr="00EE2DE7">
        <w:rPr>
          <w:rFonts w:eastAsia="Tw Cen MT"/>
          <w:kern w:val="24"/>
        </w:rPr>
        <w:t xml:space="preserve">Duke qenë se lexuesi kryesor është menduar se do të jetë gjyqtari apo prokurori, artikujt dhe struktura janë konceptuar në mënyrë të tillë që t’u shërbejnë këtyre juristëve, përveçse juristëve të rinj. Kështu edhe kur artikujt kanë trajtuar çështje të së drejtës ndërkombëtare apo asaj të huaj, gjithmonë ato janë parë edhe nga këndvështrimi i realitetit shqiptar. </w:t>
      </w:r>
    </w:p>
    <w:p w:rsidR="00E57AC8" w:rsidRPr="00EE2DE7" w:rsidRDefault="00E57AC8" w:rsidP="00E57AC8">
      <w:pPr>
        <w:numPr>
          <w:ilvl w:val="0"/>
          <w:numId w:val="38"/>
        </w:numPr>
        <w:tabs>
          <w:tab w:val="num" w:pos="0"/>
        </w:tabs>
        <w:autoSpaceDE w:val="0"/>
        <w:autoSpaceDN w:val="0"/>
        <w:adjustRightInd w:val="0"/>
        <w:spacing w:line="276" w:lineRule="auto"/>
        <w:ind w:left="0" w:firstLine="284"/>
        <w:jc w:val="both"/>
        <w:rPr>
          <w:rFonts w:eastAsia="Tw Cen MT"/>
          <w:kern w:val="24"/>
        </w:rPr>
      </w:pPr>
      <w:r w:rsidRPr="00EE2DE7">
        <w:rPr>
          <w:rFonts w:eastAsia="Tw Cen MT"/>
          <w:kern w:val="24"/>
        </w:rPr>
        <w:t xml:space="preserve">Nga ana tjetër zgjidhen artikuj që të jenë të pasur me shembuj nga praktika. </w:t>
      </w:r>
    </w:p>
    <w:p w:rsidR="00E57AC8" w:rsidRPr="00EE2DE7" w:rsidRDefault="00E57AC8" w:rsidP="00E57AC8">
      <w:pPr>
        <w:numPr>
          <w:ilvl w:val="0"/>
          <w:numId w:val="38"/>
        </w:numPr>
        <w:tabs>
          <w:tab w:val="num" w:pos="0"/>
        </w:tabs>
        <w:autoSpaceDE w:val="0"/>
        <w:autoSpaceDN w:val="0"/>
        <w:adjustRightInd w:val="0"/>
        <w:ind w:left="0" w:firstLine="284"/>
        <w:jc w:val="both"/>
        <w:rPr>
          <w:rFonts w:eastAsia="Tw Cen MT"/>
          <w:kern w:val="24"/>
        </w:rPr>
      </w:pPr>
      <w:r w:rsidRPr="00EE2DE7">
        <w:rPr>
          <w:rFonts w:eastAsia="Tw Cen MT"/>
          <w:kern w:val="24"/>
        </w:rPr>
        <w:t>Shkrimet janë seleksionuar mbi bazën e risive dhe origjinalitetit shkencor që ato përcjellin te lexuesi dhe janë shmangur shkrimet me ngjyrime politike apo emocionale.</w:t>
      </w:r>
    </w:p>
    <w:p w:rsidR="00EF3D3E" w:rsidRDefault="00E57AC8" w:rsidP="00EF3D3E">
      <w:pPr>
        <w:numPr>
          <w:ilvl w:val="0"/>
          <w:numId w:val="38"/>
        </w:numPr>
        <w:tabs>
          <w:tab w:val="num" w:pos="0"/>
        </w:tabs>
        <w:autoSpaceDE w:val="0"/>
        <w:autoSpaceDN w:val="0"/>
        <w:adjustRightInd w:val="0"/>
        <w:ind w:left="0" w:firstLine="284"/>
        <w:jc w:val="both"/>
        <w:rPr>
          <w:rFonts w:eastAsia="Tw Cen MT"/>
          <w:kern w:val="24"/>
        </w:rPr>
      </w:pPr>
      <w:r w:rsidRPr="00EE2DE7">
        <w:rPr>
          <w:rFonts w:eastAsia="Tw Cen MT"/>
          <w:kern w:val="24"/>
        </w:rPr>
        <w:t>Artikujt janë përzgjedhur edhe mbi bazën e formatit shkencor të paraqitjes së tyre, strukturës, bibliografisë, citimeve etj.</w:t>
      </w:r>
    </w:p>
    <w:p w:rsidR="00EF3D3E" w:rsidRDefault="00EF3D3E" w:rsidP="00EF3D3E">
      <w:pPr>
        <w:rPr>
          <w:rFonts w:eastAsia="Tw Cen MT"/>
        </w:rPr>
      </w:pPr>
    </w:p>
    <w:p w:rsidR="00EF3D3E" w:rsidRPr="00EF3D3E" w:rsidRDefault="00EF3D3E" w:rsidP="00EF3D3E">
      <w:pPr>
        <w:spacing w:line="276" w:lineRule="auto"/>
        <w:jc w:val="both"/>
        <w:rPr>
          <w:b/>
          <w:noProof/>
          <w:color w:val="CC9966" w:themeColor="accent2"/>
          <w:lang w:eastAsia="en-US"/>
        </w:rPr>
      </w:pPr>
      <w:r w:rsidRPr="00EF3D3E">
        <w:rPr>
          <w:b/>
          <w:noProof/>
          <w:color w:val="CC9966" w:themeColor="accent2"/>
          <w:lang w:eastAsia="en-US"/>
        </w:rPr>
        <w:t>Disa arritje dhe probleme</w:t>
      </w:r>
    </w:p>
    <w:p w:rsidR="00EF3D3E" w:rsidRPr="00EE2DE7" w:rsidRDefault="00EF3D3E" w:rsidP="00EF3D3E">
      <w:pPr>
        <w:autoSpaceDE w:val="0"/>
        <w:autoSpaceDN w:val="0"/>
        <w:adjustRightInd w:val="0"/>
        <w:jc w:val="both"/>
        <w:rPr>
          <w:rFonts w:eastAsia="Tw Cen MT"/>
          <w:b/>
          <w:kern w:val="24"/>
        </w:rPr>
      </w:pPr>
    </w:p>
    <w:p w:rsidR="00E57AC8" w:rsidRPr="00EF3D3E" w:rsidRDefault="00EF3D3E" w:rsidP="00EF3D3E">
      <w:pPr>
        <w:rPr>
          <w:rFonts w:eastAsia="Tw Cen MT"/>
        </w:rPr>
      </w:pPr>
      <w:r w:rsidRPr="00EE2DE7">
        <w:rPr>
          <w:rFonts w:eastAsia="Tw Cen MT"/>
          <w:kern w:val="24"/>
        </w:rPr>
        <w:t xml:space="preserve">Shkolla e Magjistraturës i konsideron shpenzimet lidhur me revistën, si të domosdoshme për vazhdimësinë e një aktiviteti, që në të gjitha aspektet, përbën një arritje për institucionin si dhe një kontribut të rëndësishëm për doktrinën juridike të vendit tonë. Këtë vendim, strukturat drejtuese të Shkollës e morën duke u nisur nga komentet shumë pozitive për cilësinë dhe seriozitetin e revistës të </w:t>
      </w:r>
      <w:r>
        <w:rPr>
          <w:rFonts w:eastAsia="Tw Cen MT"/>
          <w:kern w:val="24"/>
        </w:rPr>
        <w:t>nëpër</w:t>
      </w:r>
      <w:r w:rsidRPr="00EE2DE7">
        <w:rPr>
          <w:rFonts w:eastAsia="Tw Cen MT"/>
          <w:kern w:val="24"/>
        </w:rPr>
        <w:t xml:space="preserve"> takime të ndryshme me juristë nga i gjithë vendi. Veç kësaj, mjaft gjyqtarë, prokurorë e juristë të tjerë, madje pena të njohura të drejtësisë shqiptare, kontaktojnë vazhdimisht me redaksinë për të botuar artikujt e tyre.</w:t>
      </w:r>
    </w:p>
    <w:p w:rsidR="00E57AC8" w:rsidRDefault="00EF3D3E" w:rsidP="00E57AC8">
      <w:pPr>
        <w:autoSpaceDE w:val="0"/>
        <w:autoSpaceDN w:val="0"/>
        <w:adjustRightInd w:val="0"/>
        <w:rPr>
          <w:rFonts w:eastAsia="Tw Cen MT"/>
          <w:b/>
          <w:color w:val="0070C0"/>
          <w:kern w:val="24"/>
        </w:rPr>
      </w:pPr>
      <w:r>
        <w:rPr>
          <w:rFonts w:eastAsia="Tw Cen MT"/>
          <w:b/>
          <w:noProof/>
          <w:color w:val="0070C0"/>
          <w:kern w:val="24"/>
          <w:lang w:eastAsia="en-US"/>
        </w:rPr>
        <w:lastRenderedPageBreak/>
        <w:drawing>
          <wp:anchor distT="0" distB="0" distL="114300" distR="114300" simplePos="0" relativeHeight="251750912" behindDoc="0" locked="0" layoutInCell="1" allowOverlap="1">
            <wp:simplePos x="0" y="0"/>
            <wp:positionH relativeFrom="margin">
              <wp:align>center</wp:align>
            </wp:positionH>
            <wp:positionV relativeFrom="margin">
              <wp:align>top</wp:align>
            </wp:positionV>
            <wp:extent cx="2137410" cy="256794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l="6329" t="3254" r="6470" b="3037"/>
                    <a:stretch>
                      <a:fillRect/>
                    </a:stretch>
                  </pic:blipFill>
                  <pic:spPr bwMode="auto">
                    <a:xfrm>
                      <a:off x="0" y="0"/>
                      <a:ext cx="2137410" cy="2567940"/>
                    </a:xfrm>
                    <a:prstGeom prst="rect">
                      <a:avLst/>
                    </a:prstGeom>
                    <a:noFill/>
                    <a:ln w="9525">
                      <a:noFill/>
                      <a:miter lim="800000"/>
                      <a:headEnd/>
                      <a:tailEnd/>
                    </a:ln>
                  </pic:spPr>
                </pic:pic>
              </a:graphicData>
            </a:graphic>
          </wp:anchor>
        </w:drawing>
      </w:r>
      <w:r w:rsidR="00E57AC8">
        <w:rPr>
          <w:rFonts w:eastAsia="Tw Cen MT"/>
          <w:b/>
          <w:color w:val="0070C0"/>
          <w:kern w:val="24"/>
        </w:rPr>
        <w:t xml:space="preserve">                           </w:t>
      </w:r>
      <w:r w:rsidRPr="00EF3D3E">
        <w:rPr>
          <w:rFonts w:eastAsia="Tw Cen MT"/>
          <w:b/>
          <w:noProof/>
          <w:color w:val="0070C0"/>
          <w:kern w:val="24"/>
          <w:lang w:eastAsia="en-US"/>
        </w:rPr>
        <w:drawing>
          <wp:anchor distT="0" distB="0" distL="114300" distR="114300" simplePos="0" relativeHeight="251751936" behindDoc="0" locked="0" layoutInCell="1" allowOverlap="1">
            <wp:simplePos x="5101590" y="632460"/>
            <wp:positionH relativeFrom="margin">
              <wp:align>right</wp:align>
            </wp:positionH>
            <wp:positionV relativeFrom="margin">
              <wp:align>top</wp:align>
            </wp:positionV>
            <wp:extent cx="2106930" cy="2567940"/>
            <wp:effectExtent l="19050" t="0" r="7620" b="0"/>
            <wp:wrapSquare wrapText="bothSides"/>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srcRect l="5553" t="3808" r="6293" b="3407"/>
                    <a:stretch>
                      <a:fillRect/>
                    </a:stretch>
                  </pic:blipFill>
                  <pic:spPr bwMode="auto">
                    <a:xfrm>
                      <a:off x="0" y="0"/>
                      <a:ext cx="2106930" cy="2567940"/>
                    </a:xfrm>
                    <a:prstGeom prst="rect">
                      <a:avLst/>
                    </a:prstGeom>
                    <a:noFill/>
                    <a:ln w="9525">
                      <a:noFill/>
                      <a:miter lim="800000"/>
                      <a:headEnd/>
                      <a:tailEnd/>
                    </a:ln>
                  </pic:spPr>
                </pic:pic>
              </a:graphicData>
            </a:graphic>
          </wp:anchor>
        </w:drawing>
      </w:r>
    </w:p>
    <w:p w:rsidR="00EF3D3E" w:rsidRPr="00EE2DE7" w:rsidRDefault="00EF3D3E" w:rsidP="00EF3D3E">
      <w:pPr>
        <w:autoSpaceDE w:val="0"/>
        <w:autoSpaceDN w:val="0"/>
        <w:adjustRightInd w:val="0"/>
        <w:spacing w:line="276" w:lineRule="auto"/>
        <w:jc w:val="both"/>
        <w:rPr>
          <w:rFonts w:eastAsia="Tw Cen MT"/>
          <w:kern w:val="24"/>
        </w:rPr>
      </w:pPr>
      <w:r w:rsidRPr="00EE2DE7">
        <w:rPr>
          <w:rFonts w:eastAsia="Tw Cen MT"/>
          <w:kern w:val="24"/>
        </w:rPr>
        <w:t>Kjo natyrisht flet për sukses cilësor të revistës dhe për pritjen e mirë të saj nga lexuesi. Por, nga ana tjetër, kjo e vendos redaksinë e revistës përpara një përgjegjësie të madhe që t’i përgjigjet edhe në kohë lexuesit që e pret me padurim daljen e revistës.</w:t>
      </w:r>
    </w:p>
    <w:p w:rsidR="00EF3D3E" w:rsidRDefault="00EF3D3E" w:rsidP="00EF3D3E">
      <w:pPr>
        <w:spacing w:line="276" w:lineRule="auto"/>
        <w:ind w:firstLine="720"/>
        <w:jc w:val="both"/>
        <w:rPr>
          <w:rFonts w:eastAsia="Tw Cen MT"/>
          <w:kern w:val="24"/>
        </w:rPr>
      </w:pPr>
      <w:r w:rsidRPr="00EE2DE7">
        <w:rPr>
          <w:rFonts w:eastAsia="Tw Cen MT"/>
          <w:kern w:val="24"/>
        </w:rPr>
        <w:t>Mbetet një sfidë e rëndësishme për institucionin vazhdimi i botimit të saj në vitet në vazhdim me fondet e buxhetit të shtetit, ku parashikohet edhe shitja e saj dhe përdorimi i të ardhurave për botimin e numrave të ardhshëm të revistës.</w:t>
      </w:r>
    </w:p>
    <w:p w:rsidR="00EF3D3E" w:rsidRPr="00EF3D3E" w:rsidRDefault="00EF3D3E" w:rsidP="00EF3D3E">
      <w:pPr>
        <w:spacing w:line="276" w:lineRule="auto"/>
        <w:ind w:firstLine="720"/>
        <w:jc w:val="both"/>
        <w:rPr>
          <w:rFonts w:eastAsia="Tw Cen MT"/>
          <w:kern w:val="24"/>
        </w:rPr>
      </w:pPr>
    </w:p>
    <w:p w:rsidR="00EF3D3E" w:rsidRPr="00EF3D3E" w:rsidRDefault="00EF3D3E" w:rsidP="00EF3D3E">
      <w:pPr>
        <w:spacing w:line="276" w:lineRule="auto"/>
        <w:jc w:val="both"/>
        <w:rPr>
          <w:b/>
          <w:noProof/>
          <w:color w:val="CC9966" w:themeColor="accent2"/>
          <w:sz w:val="32"/>
          <w:lang w:eastAsia="en-US"/>
        </w:rPr>
      </w:pPr>
      <w:r w:rsidRPr="00EF3D3E">
        <w:rPr>
          <w:b/>
          <w:noProof/>
          <w:color w:val="CC9966" w:themeColor="accent2"/>
          <w:sz w:val="32"/>
          <w:lang w:eastAsia="en-US"/>
        </w:rPr>
        <w:t>4.2 Raporti për botimet e teksteve shkencore të Shkollës së Magjistraturës 2017-2018</w:t>
      </w:r>
    </w:p>
    <w:p w:rsidR="00EF3D3E" w:rsidRPr="000E7323" w:rsidRDefault="00EF3D3E" w:rsidP="00EF3D3E">
      <w:pPr>
        <w:spacing w:line="276" w:lineRule="auto"/>
        <w:contextualSpacing/>
        <w:jc w:val="both"/>
        <w:outlineLvl w:val="1"/>
        <w:rPr>
          <w:rFonts w:ascii="Tw Cen MT" w:eastAsia="Tw Cen MT" w:hAnsi="Tw Cen MT"/>
          <w:b/>
          <w:color w:val="355D7E"/>
          <w:spacing w:val="20"/>
          <w:kern w:val="24"/>
          <w:szCs w:val="28"/>
        </w:rPr>
      </w:pPr>
    </w:p>
    <w:p w:rsidR="00EF3D3E" w:rsidRPr="00EE2DE7" w:rsidRDefault="00EF3D3E" w:rsidP="00EF3D3E">
      <w:pPr>
        <w:spacing w:line="276" w:lineRule="auto"/>
        <w:ind w:firstLine="720"/>
        <w:jc w:val="both"/>
        <w:rPr>
          <w:rFonts w:eastAsia="Tw Cen MT"/>
          <w:kern w:val="24"/>
        </w:rPr>
      </w:pPr>
      <w:r w:rsidRPr="00EE2DE7">
        <w:rPr>
          <w:rFonts w:eastAsia="Tw Cen MT"/>
          <w:kern w:val="24"/>
        </w:rPr>
        <w:t>Shkolla e Magjistraturës mund të botojë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juridike kombëtare e ndërkombëtare. Tekstet konsiderohen tekste shkencore dhe do të botohen nën drejtimin dhe kujdesin e Shkollës së Magjistraturës.</w:t>
      </w:r>
    </w:p>
    <w:p w:rsidR="00EF3D3E" w:rsidRPr="00EE2DE7" w:rsidRDefault="00EF3D3E" w:rsidP="00EF3D3E">
      <w:pPr>
        <w:spacing w:line="276" w:lineRule="auto"/>
        <w:ind w:firstLine="720"/>
        <w:jc w:val="both"/>
        <w:rPr>
          <w:rFonts w:eastAsia="Tw Cen MT"/>
          <w:kern w:val="24"/>
        </w:rPr>
      </w:pPr>
      <w:r w:rsidRPr="00EE2DE7">
        <w:rPr>
          <w:rFonts w:eastAsia="Tw Cen MT"/>
          <w:kern w:val="24"/>
        </w:rPr>
        <w:t xml:space="preserve">Një sfidë e rëndësishme për institucionin mbeten botimet nën emrin e Shkollës së Magjistraturës e logon e saj. Të drejtën e pronësisë mbi botimin e parë të tekstit e ka Shkolla e Magjistraturës, e cila ka të drejtën e shpërndarjes së tekstit gjyqtarëve, prokurorëve e juristëve, sipas kushteve të parashikuara në kontratën e lidhur nga autori me Drejtorinë e Shkollës. </w:t>
      </w:r>
    </w:p>
    <w:p w:rsidR="00EF3D3E" w:rsidRPr="00EE2DE7" w:rsidRDefault="00EF3D3E" w:rsidP="00EF3D3E">
      <w:pPr>
        <w:spacing w:line="276" w:lineRule="auto"/>
        <w:ind w:firstLine="720"/>
        <w:jc w:val="both"/>
        <w:rPr>
          <w:rFonts w:eastAsia="Tw Cen MT"/>
          <w:kern w:val="24"/>
        </w:rPr>
      </w:pPr>
      <w:r w:rsidRPr="00EE2DE7">
        <w:rPr>
          <w:rFonts w:eastAsia="Tw Cen MT"/>
          <w:kern w:val="24"/>
        </w:rPr>
        <w:t xml:space="preserve">Tekstet e Programit të Trajnimit Fillestar dhe Vazhdues të Shkollës së Magjistraturës konsiderohen tekste shkencore. Ato botohen nën drejtimin dhe kujdesin e Shkollës. Botimi i këtyre teksteve synon të plotësojë literaturën juridike me njohuri praktike e teorike në ndihmë të gjyqtarëve, prokurorëve që përgatiten rishtas nga Shkolla e Magjistraturës, si dhe në ndihmë të gjyqtarëve e prokurorëve në detyrë, të avokatëve e të përfaqësuesve të tjerë të profesioneve ligjore në procesin e Trajnimit Vazhdues. </w:t>
      </w:r>
    </w:p>
    <w:p w:rsidR="00EF3D3E" w:rsidRPr="00EE2DE7" w:rsidRDefault="00EF3D3E" w:rsidP="00EF3D3E">
      <w:pPr>
        <w:spacing w:line="276" w:lineRule="auto"/>
        <w:ind w:firstLine="720"/>
        <w:jc w:val="both"/>
        <w:rPr>
          <w:rFonts w:eastAsia="Tw Cen MT"/>
          <w:kern w:val="24"/>
        </w:rPr>
      </w:pPr>
      <w:r w:rsidRPr="00EE2DE7">
        <w:rPr>
          <w:rFonts w:eastAsia="Tw Cen MT"/>
          <w:kern w:val="24"/>
        </w:rPr>
        <w:t xml:space="preserve">Të drejtën për botim e kanë të gjithë pedagogët e brendshëm dhe të jashtëm të Shkollës, ekspertët dhe trajnerët e saj, si dhe në raste përjashtimore gjyqtarët, prokurorët e kandidatët për magjistratë, autorë nga profesione të tjera në shërbim të sistemit të drejtësisë, kur botimi ka interes për praktikën gjyqësore dhe trajnimin e gjyqtarëve dhe prokurorëve. </w:t>
      </w:r>
    </w:p>
    <w:p w:rsidR="00EF3D3E" w:rsidRPr="00EE2DE7" w:rsidRDefault="00EF3D3E" w:rsidP="00EF3D3E">
      <w:pPr>
        <w:spacing w:line="276" w:lineRule="auto"/>
        <w:ind w:firstLine="720"/>
        <w:jc w:val="both"/>
        <w:rPr>
          <w:rFonts w:eastAsia="Tw Cen MT"/>
          <w:bCs/>
          <w:iCs/>
          <w:kern w:val="24"/>
        </w:rPr>
      </w:pPr>
      <w:r w:rsidRPr="00EE2DE7">
        <w:rPr>
          <w:rFonts w:eastAsia="Tw Cen MT"/>
          <w:bCs/>
          <w:iCs/>
          <w:kern w:val="24"/>
        </w:rPr>
        <w:t>Përmbajtja e tekstit përfshin të gjitha elementet e një botimi shkencor, si përsa i përket formës, ashtu edhe përmbajtjes. Botimet paraqiten si tekste me natyrë trajnuese, akademike, didaktike e praktike dhe jo më pak se 200 faqe.</w:t>
      </w:r>
    </w:p>
    <w:p w:rsidR="00EF3D3E" w:rsidRPr="00EE2DE7" w:rsidRDefault="00EF3D3E" w:rsidP="00EF3D3E">
      <w:pPr>
        <w:spacing w:line="276" w:lineRule="auto"/>
        <w:ind w:firstLine="720"/>
        <w:jc w:val="both"/>
        <w:rPr>
          <w:rFonts w:eastAsia="Tw Cen MT"/>
          <w:bCs/>
          <w:iCs/>
          <w:kern w:val="24"/>
        </w:rPr>
      </w:pPr>
      <w:r w:rsidRPr="00EE2DE7">
        <w:rPr>
          <w:rFonts w:eastAsia="Tw Cen MT"/>
          <w:bCs/>
          <w:iCs/>
          <w:kern w:val="24"/>
        </w:rPr>
        <w:lastRenderedPageBreak/>
        <w:t xml:space="preserve">Teksti është i strukturuar në kapituj, të cilët i përgjigjen strukturës së programit mësimor të lëndës apo kursit përkatës të Trajnimit Fillestar të miratuar nga Këshilli Drejtues i Shkollës, ose në formë monografie kur në to përmblidhen materialet e një seminari të Trajnimit Vazhdues që lidhet me një temë specifike. </w:t>
      </w:r>
      <w:r w:rsidRPr="00EE2DE7">
        <w:rPr>
          <w:rFonts w:eastAsia="Tw Cen MT"/>
          <w:kern w:val="24"/>
        </w:rPr>
        <w:t xml:space="preserve">Çdo tekst ka jo më pak se 30–40 raste të praktikës gjyqësore për ilustrim, të shoqëruara me referencat përkatëse në vendimet e gjykatës. </w:t>
      </w:r>
      <w:r w:rsidRPr="00EE2DE7">
        <w:rPr>
          <w:rFonts w:eastAsia="Tw Cen MT"/>
          <w:bCs/>
          <w:iCs/>
          <w:kern w:val="24"/>
        </w:rPr>
        <w:t xml:space="preserve">Teksti mund të përgatitet nga një autor apo grup autorësh, të cilët paraqesin kërkesë me shkrim dhe përbërja e grupit të autorëve miratohet paraprakisht nga Drejtoria e Shkollës. </w:t>
      </w:r>
    </w:p>
    <w:p w:rsidR="00EF3D3E" w:rsidRPr="00EE2DE7" w:rsidRDefault="00EF3D3E" w:rsidP="00EF3D3E">
      <w:pPr>
        <w:spacing w:line="276" w:lineRule="auto"/>
        <w:ind w:firstLine="720"/>
        <w:jc w:val="both"/>
        <w:rPr>
          <w:rFonts w:eastAsia="Tw Cen MT"/>
          <w:bCs/>
          <w:iCs/>
          <w:kern w:val="24"/>
        </w:rPr>
      </w:pPr>
      <w:r w:rsidRPr="00EE2DE7">
        <w:rPr>
          <w:rFonts w:eastAsia="Tw Cen MT"/>
          <w:bCs/>
          <w:iCs/>
          <w:kern w:val="24"/>
        </w:rPr>
        <w:t>Tekstet që paraqiten për t’u miratuar për botim në Shkollën e Magjistraturës nuk duhet të jenë botuar më parë si libër, tekst, apo botim tjetër, si dhe nuk mund të botohen në të ardhmen pa lejen paraprake me shkrim të Drejtorisë së Shkollës dhe Bordit të Redaktorëve. Tekstet botohen me ISBN dhe me një tirazh të paktën 300 kopje.</w:t>
      </w:r>
    </w:p>
    <w:p w:rsidR="00EF3D3E" w:rsidRPr="00EE2DE7" w:rsidRDefault="000B2E51" w:rsidP="00EF3D3E">
      <w:pPr>
        <w:spacing w:line="276" w:lineRule="auto"/>
        <w:ind w:firstLine="720"/>
        <w:jc w:val="both"/>
        <w:rPr>
          <w:rFonts w:eastAsia="Tw Cen MT"/>
          <w:kern w:val="24"/>
        </w:rPr>
      </w:pPr>
      <w:r>
        <w:rPr>
          <w:rFonts w:eastAsia="Tw Cen MT"/>
          <w:noProof/>
          <w:kern w:val="24"/>
          <w:lang w:eastAsia="en-US"/>
        </w:rPr>
        <w:drawing>
          <wp:anchor distT="0" distB="0" distL="114300" distR="114300" simplePos="0" relativeHeight="251752960" behindDoc="0" locked="0" layoutInCell="1" allowOverlap="1">
            <wp:simplePos x="0" y="0"/>
            <wp:positionH relativeFrom="margin">
              <wp:align>left</wp:align>
            </wp:positionH>
            <wp:positionV relativeFrom="margin">
              <wp:posOffset>2708910</wp:posOffset>
            </wp:positionV>
            <wp:extent cx="4293870" cy="2819400"/>
            <wp:effectExtent l="19050" t="0" r="0" b="0"/>
            <wp:wrapSquare wrapText="bothSides"/>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l="2883" t="3016" b="1856"/>
                    <a:stretch>
                      <a:fillRect/>
                    </a:stretch>
                  </pic:blipFill>
                  <pic:spPr bwMode="auto">
                    <a:xfrm>
                      <a:off x="0" y="0"/>
                      <a:ext cx="4293870" cy="2819400"/>
                    </a:xfrm>
                    <a:prstGeom prst="rect">
                      <a:avLst/>
                    </a:prstGeom>
                    <a:noFill/>
                    <a:ln w="9525">
                      <a:noFill/>
                      <a:miter lim="800000"/>
                      <a:headEnd/>
                      <a:tailEnd/>
                    </a:ln>
                  </pic:spPr>
                </pic:pic>
              </a:graphicData>
            </a:graphic>
          </wp:anchor>
        </w:drawing>
      </w:r>
      <w:r w:rsidR="00EF3D3E" w:rsidRPr="00EE2DE7">
        <w:rPr>
          <w:rFonts w:eastAsia="Tw Cen MT"/>
          <w:kern w:val="24"/>
        </w:rPr>
        <w:t>Shkolla e Magjistraturës ka të drejtë të lidhë kontratë botimi për tekstin me shtëpitë botuese sipas rregullave financiare e organizimit të procedurave të prokurimit publik dhe të vërë në dijeni autorin për këtë gjë. Shpenzimet e botimit i ngarkohen tërësisht ose pjesërisht Shkollës së Magjistraturës, sipas kushteve të parashikuara në kontratën e lidhur prej saj me autorin. Me raste përjashtimore teksti mund të botohet nga autori, kur ky i fundit e pranon këtë gjë. Tekstet do të botohen nga Shkolla e Magjistraturës me fondet e saj që burojnë nga buxheti i shtetit, me donacionet e ofruara nga donatorë vendas dhe të huaj apo nga vetë autorët.</w:t>
      </w:r>
    </w:p>
    <w:p w:rsidR="00EF3D3E" w:rsidRDefault="00CF3AE0" w:rsidP="000B2E51">
      <w:pPr>
        <w:spacing w:line="276" w:lineRule="auto"/>
        <w:jc w:val="both"/>
        <w:rPr>
          <w:rFonts w:eastAsia="Tw Cen MT"/>
          <w:kern w:val="24"/>
        </w:rPr>
      </w:pPr>
      <w:r>
        <w:rPr>
          <w:noProof/>
          <w:lang w:eastAsia="en-US"/>
        </w:rPr>
        <w:pict>
          <v:rect id="Rectangle 198" o:spid="_x0000_s1086" style="position:absolute;left:0;text-align:left;margin-left:-338.1pt;margin-top:95.05pt;width:484.8pt;height:82.8pt;z-index:251753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" fillcolor="#4f81bd" stroked="f" strokeweight="2pt">
            <v:textbox inset="21.6pt,21.6pt,21.6pt,21.6pt">
              <w:txbxContent>
                <w:p w:rsidR="005372E3" w:rsidRPr="000B2E51" w:rsidRDefault="005372E3" w:rsidP="000B2E51">
                  <w:pPr>
                    <w:widowControl w:val="0"/>
                    <w:jc w:val="both"/>
                  </w:pPr>
                  <w:r w:rsidRPr="000B2E51">
                    <w:rPr>
                      <w:color w:val="FFFFFF" w:themeColor="background1"/>
                      <w:szCs w:val="20"/>
                    </w:rPr>
                    <w:t>Për vitin akademik 2018-2019 janë p</w:t>
                  </w:r>
                  <w:r w:rsidR="0092132A">
                    <w:rPr>
                      <w:color w:val="FFFFFF" w:themeColor="background1"/>
                      <w:szCs w:val="20"/>
                    </w:rPr>
                    <w:t xml:space="preserve">lanifikuar edhe tituj të tjerë </w:t>
                  </w:r>
                  <w:r w:rsidRPr="000B2E51">
                    <w:rPr>
                      <w:color w:val="FFFFFF" w:themeColor="background1"/>
                      <w:szCs w:val="20"/>
                    </w:rPr>
                    <w:t xml:space="preserve">librash, të cilët janë në proces botimi me mbështetjen financiare të donatorëve si dhe të buxhetit të shtetit, si më poshtë: </w:t>
                  </w:r>
                </w:p>
              </w:txbxContent>
            </v:textbox>
            <w10:wrap type="topAndBottom"/>
          </v:rect>
        </w:pict>
      </w:r>
      <w:r w:rsidR="00EF3D3E">
        <w:rPr>
          <w:rFonts w:eastAsia="Tw Cen MT"/>
          <w:kern w:val="24"/>
        </w:rPr>
        <w:t>Për vitin akademik 2017-</w:t>
      </w:r>
      <w:r w:rsidR="00EF3D3E" w:rsidRPr="00EE2DE7">
        <w:rPr>
          <w:rFonts w:eastAsia="Tw Cen MT"/>
          <w:kern w:val="24"/>
        </w:rPr>
        <w:t>2018 me mbështetjen financiare të Këshillit të Europës kanë dalë nga shtypi libri me titull “</w:t>
      </w:r>
      <w:r w:rsidR="00EF3D3E" w:rsidRPr="000E7323">
        <w:rPr>
          <w:rFonts w:eastAsia="Tw Cen MT"/>
          <w:i/>
          <w:kern w:val="24"/>
        </w:rPr>
        <w:t>Mbrojtja e së drejtës për lirinë e shprehjes sipas Konventës E</w:t>
      </w:r>
      <w:r w:rsidR="00EF3D3E">
        <w:rPr>
          <w:rFonts w:eastAsia="Tw Cen MT"/>
          <w:i/>
          <w:kern w:val="24"/>
        </w:rPr>
        <w:t>u</w:t>
      </w:r>
      <w:r w:rsidR="00EF3D3E" w:rsidRPr="000E7323">
        <w:rPr>
          <w:rFonts w:eastAsia="Tw Cen MT"/>
          <w:i/>
          <w:kern w:val="24"/>
        </w:rPr>
        <w:t>ropiane për të Drejtat e Njeriut</w:t>
      </w:r>
      <w:r w:rsidR="00EF3D3E" w:rsidRPr="00EE2DE7">
        <w:rPr>
          <w:rFonts w:eastAsia="Tw Cen MT"/>
          <w:kern w:val="24"/>
        </w:rPr>
        <w:t>” me rastin e diplomimit t</w:t>
      </w:r>
      <w:r w:rsidR="00EF3D3E">
        <w:rPr>
          <w:rFonts w:eastAsia="Tw Cen MT"/>
          <w:kern w:val="24"/>
        </w:rPr>
        <w:t>ë</w:t>
      </w:r>
      <w:r w:rsidR="00EF3D3E" w:rsidRPr="00EE2DE7">
        <w:rPr>
          <w:rFonts w:eastAsia="Tw Cen MT"/>
          <w:kern w:val="24"/>
        </w:rPr>
        <w:t xml:space="preserve"> kandidateve për magjistrat</w:t>
      </w:r>
      <w:r w:rsidR="00EF3D3E">
        <w:rPr>
          <w:rFonts w:eastAsia="Tw Cen MT"/>
          <w:kern w:val="24"/>
        </w:rPr>
        <w:t>ë</w:t>
      </w:r>
      <w:r w:rsidR="00EF3D3E" w:rsidRPr="00EE2DE7">
        <w:rPr>
          <w:rFonts w:eastAsia="Tw Cen MT"/>
          <w:kern w:val="24"/>
        </w:rPr>
        <w:t xml:space="preserve"> për vitet</w:t>
      </w:r>
      <w:r w:rsidR="0092132A">
        <w:rPr>
          <w:rFonts w:eastAsia="Tw Cen MT"/>
          <w:kern w:val="24"/>
        </w:rPr>
        <w:t xml:space="preserve"> 2015-2018 </w:t>
      </w:r>
      <w:r w:rsidR="00EF3D3E">
        <w:rPr>
          <w:rFonts w:eastAsia="Tw Cen MT"/>
          <w:kern w:val="24"/>
        </w:rPr>
        <w:t>si dhe zhvillimit të</w:t>
      </w:r>
      <w:r w:rsidR="00EF3D3E" w:rsidRPr="00EE2DE7">
        <w:rPr>
          <w:rFonts w:eastAsia="Tw Cen MT"/>
          <w:kern w:val="24"/>
        </w:rPr>
        <w:t xml:space="preserve"> </w:t>
      </w:r>
      <w:r w:rsidR="00EF3D3E">
        <w:rPr>
          <w:rFonts w:eastAsia="Tw Cen MT"/>
          <w:kern w:val="24"/>
        </w:rPr>
        <w:t>k</w:t>
      </w:r>
      <w:r w:rsidR="00EF3D3E" w:rsidRPr="00EE2DE7">
        <w:rPr>
          <w:rFonts w:eastAsia="Tw Cen MT"/>
          <w:kern w:val="24"/>
        </w:rPr>
        <w:t xml:space="preserve">onferencës </w:t>
      </w:r>
      <w:r w:rsidR="00EF3D3E">
        <w:rPr>
          <w:rFonts w:eastAsia="Tw Cen MT"/>
          <w:kern w:val="24"/>
        </w:rPr>
        <w:t>s</w:t>
      </w:r>
      <w:r w:rsidR="00EF3D3E" w:rsidRPr="00EE2DE7">
        <w:rPr>
          <w:rFonts w:eastAsia="Tw Cen MT"/>
          <w:kern w:val="24"/>
        </w:rPr>
        <w:t>hkencore me titull</w:t>
      </w:r>
      <w:r w:rsidR="00EF3D3E">
        <w:rPr>
          <w:rFonts w:eastAsia="Tw Cen MT"/>
          <w:kern w:val="24"/>
        </w:rPr>
        <w:t>:</w:t>
      </w:r>
      <w:r w:rsidR="00EF3D3E" w:rsidRPr="00EE2DE7">
        <w:rPr>
          <w:rFonts w:eastAsia="Tw Cen MT"/>
          <w:kern w:val="24"/>
        </w:rPr>
        <w:t xml:space="preserve"> “</w:t>
      </w:r>
      <w:r w:rsidR="00EF3D3E" w:rsidRPr="005C516A">
        <w:rPr>
          <w:rFonts w:eastAsia="Tw Cen MT"/>
          <w:i/>
          <w:kern w:val="24"/>
        </w:rPr>
        <w:t>Sfida të zbatimit të standardeve europiane në lirinë e shprehjes në kontekstin shqiptar</w:t>
      </w:r>
      <w:r w:rsidR="00EF3D3E" w:rsidRPr="00EE2DE7">
        <w:rPr>
          <w:rFonts w:eastAsia="Tw Cen MT"/>
          <w:kern w:val="24"/>
        </w:rPr>
        <w:t>”</w:t>
      </w:r>
      <w:r w:rsidR="00EF3D3E">
        <w:rPr>
          <w:rFonts w:eastAsia="Tw Cen MT"/>
          <w:kern w:val="24"/>
        </w:rPr>
        <w:t xml:space="preserve">. </w:t>
      </w:r>
      <w:r w:rsidR="00EF3D3E" w:rsidRPr="00EE2DE7">
        <w:rPr>
          <w:rFonts w:eastAsia="Tw Cen MT"/>
          <w:kern w:val="24"/>
        </w:rPr>
        <w:t xml:space="preserve">  </w:t>
      </w:r>
    </w:p>
    <w:p w:rsidR="000B2E51" w:rsidRDefault="000B2E51" w:rsidP="000B2E51">
      <w:pPr>
        <w:spacing w:line="276" w:lineRule="auto"/>
        <w:jc w:val="both"/>
        <w:rPr>
          <w:rFonts w:eastAsia="Tw Cen MT"/>
          <w:kern w:val="24"/>
        </w:rPr>
      </w:pPr>
    </w:p>
    <w:p w:rsidR="000B2E51" w:rsidRDefault="000B2E51" w:rsidP="000B2E51">
      <w:pPr>
        <w:spacing w:line="276" w:lineRule="auto"/>
        <w:jc w:val="both"/>
        <w:rPr>
          <w:rFonts w:eastAsia="Tw Cen MT"/>
          <w:kern w:val="24"/>
        </w:rPr>
      </w:pPr>
    </w:p>
    <w:p w:rsidR="00E57AC8" w:rsidRDefault="00E57AC8" w:rsidP="00386F89">
      <w:pPr>
        <w:tabs>
          <w:tab w:val="left" w:pos="10260"/>
        </w:tabs>
        <w:ind w:firstLine="360"/>
        <w:jc w:val="both"/>
      </w:pPr>
    </w:p>
    <w:p w:rsidR="000B2E51" w:rsidRDefault="000B2E51" w:rsidP="00386F89">
      <w:pPr>
        <w:tabs>
          <w:tab w:val="left" w:pos="10260"/>
        </w:tabs>
        <w:ind w:firstLine="360"/>
        <w:jc w:val="both"/>
      </w:pPr>
    </w:p>
    <w:tbl>
      <w:tblPr>
        <w:tblStyle w:val="MediumGrid2-Accent2"/>
        <w:tblW w:w="9810" w:type="dxa"/>
        <w:tblLayout w:type="fixed"/>
        <w:tblLook w:val="04A0" w:firstRow="1" w:lastRow="0" w:firstColumn="1" w:lastColumn="0" w:noHBand="0" w:noVBand="1"/>
      </w:tblPr>
      <w:tblGrid>
        <w:gridCol w:w="556"/>
        <w:gridCol w:w="3494"/>
        <w:gridCol w:w="1620"/>
        <w:gridCol w:w="1170"/>
        <w:gridCol w:w="1260"/>
        <w:gridCol w:w="1710"/>
      </w:tblGrid>
      <w:tr w:rsidR="000B2E51" w:rsidRPr="00EE2DE7" w:rsidTr="000B2E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56" w:type="dxa"/>
          </w:tcPr>
          <w:p w:rsidR="000B2E51" w:rsidRPr="009874AF" w:rsidRDefault="000B2E51" w:rsidP="005372E3">
            <w:pPr>
              <w:jc w:val="center"/>
              <w:rPr>
                <w:rFonts w:ascii="Times New Roman" w:eastAsia="Tw Cen MT" w:hAnsi="Times New Roman" w:cs="Times New Roman"/>
                <w:b w:val="0"/>
              </w:rPr>
            </w:pPr>
            <w:r w:rsidRPr="009874AF">
              <w:rPr>
                <w:rFonts w:ascii="Times New Roman" w:eastAsia="Tw Cen MT" w:hAnsi="Times New Roman" w:cs="Times New Roman"/>
              </w:rPr>
              <w:t>Nr.</w:t>
            </w:r>
          </w:p>
        </w:tc>
        <w:tc>
          <w:tcPr>
            <w:tcW w:w="3494" w:type="dxa"/>
          </w:tcPr>
          <w:p w:rsidR="000B2E51" w:rsidRPr="00EE2DE7" w:rsidRDefault="000B2E51" w:rsidP="005372E3">
            <w:pPr>
              <w:jc w:val="center"/>
              <w:cnfStyle w:val="100000000000" w:firstRow="1" w:lastRow="0" w:firstColumn="0" w:lastColumn="0" w:oddVBand="0" w:evenVBand="0" w:oddHBand="0" w:evenHBand="0" w:firstRowFirstColumn="0" w:firstRowLastColumn="0" w:lastRowFirstColumn="0" w:lastRowLastColumn="0"/>
              <w:rPr>
                <w:rFonts w:ascii="Times New Roman" w:eastAsia="Tw Cen MT" w:hAnsi="Times New Roman" w:cs="Times New Roman"/>
                <w:b w:val="0"/>
              </w:rPr>
            </w:pPr>
            <w:r w:rsidRPr="00EE2DE7">
              <w:rPr>
                <w:rFonts w:ascii="Times New Roman" w:eastAsia="Tw Cen MT" w:hAnsi="Times New Roman" w:cs="Times New Roman"/>
              </w:rPr>
              <w:t>Titujt e botimeve</w:t>
            </w:r>
          </w:p>
        </w:tc>
        <w:tc>
          <w:tcPr>
            <w:tcW w:w="1620" w:type="dxa"/>
          </w:tcPr>
          <w:p w:rsidR="000B2E51" w:rsidRPr="00EE2DE7" w:rsidRDefault="000B2E51" w:rsidP="005372E3">
            <w:pPr>
              <w:jc w:val="center"/>
              <w:cnfStyle w:val="100000000000" w:firstRow="1" w:lastRow="0" w:firstColumn="0" w:lastColumn="0" w:oddVBand="0" w:evenVBand="0" w:oddHBand="0" w:evenHBand="0" w:firstRowFirstColumn="0" w:firstRowLastColumn="0" w:lastRowFirstColumn="0" w:lastRowLastColumn="0"/>
              <w:rPr>
                <w:rFonts w:ascii="Times New Roman" w:eastAsia="Tw Cen MT" w:hAnsi="Times New Roman" w:cs="Times New Roman"/>
                <w:b w:val="0"/>
              </w:rPr>
            </w:pPr>
            <w:r w:rsidRPr="00EE2DE7">
              <w:rPr>
                <w:rFonts w:ascii="Times New Roman" w:eastAsia="Tw Cen MT" w:hAnsi="Times New Roman" w:cs="Times New Roman"/>
              </w:rPr>
              <w:t>Nr</w:t>
            </w:r>
            <w:r>
              <w:rPr>
                <w:rFonts w:ascii="Times New Roman" w:eastAsia="Tw Cen MT" w:hAnsi="Times New Roman" w:cs="Times New Roman"/>
              </w:rPr>
              <w:t>.</w:t>
            </w:r>
            <w:r w:rsidRPr="00EE2DE7">
              <w:rPr>
                <w:rFonts w:ascii="Times New Roman" w:eastAsia="Tw Cen MT" w:hAnsi="Times New Roman" w:cs="Times New Roman"/>
              </w:rPr>
              <w:t xml:space="preserve"> i faqeve</w:t>
            </w:r>
          </w:p>
        </w:tc>
        <w:tc>
          <w:tcPr>
            <w:tcW w:w="1170" w:type="dxa"/>
          </w:tcPr>
          <w:p w:rsidR="000B2E51" w:rsidRPr="00EE2DE7" w:rsidRDefault="000B2E51" w:rsidP="005372E3">
            <w:pPr>
              <w:jc w:val="center"/>
              <w:cnfStyle w:val="100000000000" w:firstRow="1" w:lastRow="0" w:firstColumn="0" w:lastColumn="0" w:oddVBand="0" w:evenVBand="0" w:oddHBand="0" w:evenHBand="0" w:firstRowFirstColumn="0" w:firstRowLastColumn="0" w:lastRowFirstColumn="0" w:lastRowLastColumn="0"/>
              <w:rPr>
                <w:rFonts w:ascii="Times New Roman" w:eastAsia="Tw Cen MT" w:hAnsi="Times New Roman" w:cs="Times New Roman"/>
                <w:b w:val="0"/>
              </w:rPr>
            </w:pPr>
            <w:r w:rsidRPr="00EE2DE7">
              <w:rPr>
                <w:rFonts w:ascii="Times New Roman" w:eastAsia="Tw Cen MT" w:hAnsi="Times New Roman" w:cs="Times New Roman"/>
              </w:rPr>
              <w:t>Nr. i kopje</w:t>
            </w:r>
            <w:r>
              <w:rPr>
                <w:rFonts w:ascii="Times New Roman" w:eastAsia="Tw Cen MT" w:hAnsi="Times New Roman" w:cs="Times New Roman"/>
              </w:rPr>
              <w:t>ve</w:t>
            </w:r>
          </w:p>
        </w:tc>
        <w:tc>
          <w:tcPr>
            <w:tcW w:w="1260" w:type="dxa"/>
          </w:tcPr>
          <w:p w:rsidR="000B2E51" w:rsidRPr="00EE2DE7" w:rsidRDefault="000B2E51" w:rsidP="005372E3">
            <w:pPr>
              <w:jc w:val="center"/>
              <w:cnfStyle w:val="100000000000" w:firstRow="1" w:lastRow="0" w:firstColumn="0" w:lastColumn="0" w:oddVBand="0" w:evenVBand="0" w:oddHBand="0" w:evenHBand="0" w:firstRowFirstColumn="0" w:firstRowLastColumn="0" w:lastRowFirstColumn="0" w:lastRowLastColumn="0"/>
              <w:rPr>
                <w:rFonts w:ascii="Times New Roman" w:eastAsia="Tw Cen MT" w:hAnsi="Times New Roman" w:cs="Times New Roman"/>
                <w:b w:val="0"/>
              </w:rPr>
            </w:pPr>
            <w:r w:rsidRPr="00EE2DE7">
              <w:rPr>
                <w:rFonts w:ascii="Times New Roman" w:eastAsia="Tw Cen MT" w:hAnsi="Times New Roman" w:cs="Times New Roman"/>
              </w:rPr>
              <w:t>Financimi</w:t>
            </w:r>
          </w:p>
        </w:tc>
        <w:tc>
          <w:tcPr>
            <w:tcW w:w="1710" w:type="dxa"/>
          </w:tcPr>
          <w:p w:rsidR="000B2E51" w:rsidRPr="00EE2DE7" w:rsidRDefault="000B2E51" w:rsidP="005372E3">
            <w:pPr>
              <w:jc w:val="center"/>
              <w:cnfStyle w:val="100000000000" w:firstRow="1" w:lastRow="0" w:firstColumn="0" w:lastColumn="0" w:oddVBand="0" w:evenVBand="0" w:oddHBand="0" w:evenHBand="0" w:firstRowFirstColumn="0" w:firstRowLastColumn="0" w:lastRowFirstColumn="0" w:lastRowLastColumn="0"/>
              <w:rPr>
                <w:rFonts w:ascii="Times New Roman" w:eastAsia="Tw Cen MT" w:hAnsi="Times New Roman" w:cs="Times New Roman"/>
                <w:b w:val="0"/>
              </w:rPr>
            </w:pPr>
            <w:r w:rsidRPr="00EE2DE7">
              <w:rPr>
                <w:rFonts w:ascii="Times New Roman" w:eastAsia="Tw Cen MT" w:hAnsi="Times New Roman" w:cs="Times New Roman"/>
              </w:rPr>
              <w:t>Gjendja</w:t>
            </w:r>
          </w:p>
        </w:tc>
      </w:tr>
      <w:tr w:rsidR="000B2E51" w:rsidRPr="00EE2DE7" w:rsidTr="000B2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1.</w:t>
            </w:r>
          </w:p>
        </w:tc>
        <w:tc>
          <w:tcPr>
            <w:tcW w:w="3494" w:type="dxa"/>
          </w:tcPr>
          <w:p w:rsidR="000B2E51" w:rsidRPr="00CE2DD0" w:rsidRDefault="000B2E51" w:rsidP="005372E3">
            <w:pPr>
              <w:jc w:val="both"/>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sz w:val="22"/>
                <w:szCs w:val="22"/>
              </w:rPr>
            </w:pPr>
            <w:r w:rsidRPr="00CE2DD0">
              <w:rPr>
                <w:rFonts w:ascii="Times New Roman" w:eastAsia="Tw Cen MT" w:hAnsi="Times New Roman" w:cs="Times New Roman"/>
              </w:rPr>
              <w:t xml:space="preserve">Revista “Jeta Juridike” nr. 1, 2, 2018. </w:t>
            </w:r>
          </w:p>
        </w:tc>
        <w:tc>
          <w:tcPr>
            <w:tcW w:w="1620" w:type="dxa"/>
          </w:tcPr>
          <w:p w:rsidR="000B2E51" w:rsidRPr="00CE2DD0"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CE2DD0">
              <w:rPr>
                <w:rFonts w:ascii="Times New Roman" w:eastAsia="Tw Cen MT" w:hAnsi="Times New Roman" w:cs="Times New Roman"/>
              </w:rPr>
              <w:t>300 (150 faqe shqip dhe 150 faqe anglisht)</w:t>
            </w:r>
          </w:p>
        </w:tc>
        <w:tc>
          <w:tcPr>
            <w:tcW w:w="1170" w:type="dxa"/>
          </w:tcPr>
          <w:p w:rsidR="000B2E51" w:rsidRPr="00CE2DD0"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b/>
              </w:rPr>
            </w:pPr>
            <w:r w:rsidRPr="00CE2DD0">
              <w:rPr>
                <w:rFonts w:ascii="Times New Roman" w:eastAsia="Tw Cen MT" w:hAnsi="Times New Roman" w:cs="Times New Roman"/>
              </w:rPr>
              <w:t>300</w:t>
            </w:r>
          </w:p>
        </w:tc>
        <w:tc>
          <w:tcPr>
            <w:tcW w:w="1260" w:type="dxa"/>
          </w:tcPr>
          <w:p w:rsidR="000B2E51" w:rsidRPr="00CE2DD0"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CE2DD0">
              <w:rPr>
                <w:rFonts w:ascii="Times New Roman" w:eastAsia="Tw Cen MT" w:hAnsi="Times New Roman" w:cs="Times New Roman"/>
              </w:rPr>
              <w:t>Nga Buxheti</w:t>
            </w:r>
          </w:p>
        </w:tc>
        <w:tc>
          <w:tcPr>
            <w:tcW w:w="1710" w:type="dxa"/>
          </w:tcPr>
          <w:p w:rsidR="000B2E51" w:rsidRPr="00CE2DD0"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sz w:val="22"/>
                <w:szCs w:val="22"/>
              </w:rPr>
            </w:pPr>
            <w:r w:rsidRPr="00CE2DD0">
              <w:rPr>
                <w:rFonts w:ascii="Times New Roman" w:eastAsia="Tw Cen MT" w:hAnsi="Times New Roman" w:cs="Times New Roman"/>
              </w:rPr>
              <w:t xml:space="preserve">Janë botuar </w:t>
            </w:r>
            <w:r>
              <w:rPr>
                <w:rFonts w:ascii="Times New Roman" w:eastAsia="Tw Cen MT" w:hAnsi="Times New Roman" w:cs="Times New Roman"/>
              </w:rPr>
              <w:t>të dyja</w:t>
            </w:r>
          </w:p>
        </w:tc>
      </w:tr>
      <w:tr w:rsidR="000B2E51" w:rsidRPr="00EE2DE7" w:rsidTr="000B2E51">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2.</w:t>
            </w:r>
          </w:p>
        </w:tc>
        <w:tc>
          <w:tcPr>
            <w:tcW w:w="3494" w:type="dxa"/>
          </w:tcPr>
          <w:p w:rsidR="000B2E51" w:rsidRPr="00EE2DE7" w:rsidRDefault="000B2E51" w:rsidP="005372E3">
            <w:pPr>
              <w:jc w:val="both"/>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 xml:space="preserve">E </w:t>
            </w:r>
            <w:r>
              <w:rPr>
                <w:rFonts w:ascii="Times New Roman" w:eastAsia="Tw Cen MT" w:hAnsi="Times New Roman" w:cs="Times New Roman"/>
              </w:rPr>
              <w:t>d</w:t>
            </w:r>
            <w:r w:rsidRPr="00EE2DE7">
              <w:rPr>
                <w:rFonts w:ascii="Times New Roman" w:eastAsia="Tw Cen MT" w:hAnsi="Times New Roman" w:cs="Times New Roman"/>
              </w:rPr>
              <w:t xml:space="preserve">rejta </w:t>
            </w:r>
            <w:r>
              <w:rPr>
                <w:rFonts w:ascii="Times New Roman" w:eastAsia="Tw Cen MT" w:hAnsi="Times New Roman" w:cs="Times New Roman"/>
              </w:rPr>
              <w:t>f</w:t>
            </w:r>
            <w:r w:rsidRPr="00EE2DE7">
              <w:rPr>
                <w:rFonts w:ascii="Times New Roman" w:eastAsia="Tw Cen MT" w:hAnsi="Times New Roman" w:cs="Times New Roman"/>
              </w:rPr>
              <w:t xml:space="preserve">amiljare </w:t>
            </w:r>
            <w:r w:rsidRPr="005C516A">
              <w:rPr>
                <w:rFonts w:ascii="Times New Roman" w:eastAsia="Tw Cen MT" w:hAnsi="Times New Roman" w:cs="Times New Roman"/>
                <w:i/>
              </w:rPr>
              <w:t>Casebook</w:t>
            </w:r>
          </w:p>
        </w:tc>
        <w:tc>
          <w:tcPr>
            <w:tcW w:w="162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200  faqe</w:t>
            </w:r>
          </w:p>
        </w:tc>
        <w:tc>
          <w:tcPr>
            <w:tcW w:w="117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300</w:t>
            </w:r>
          </w:p>
        </w:tc>
        <w:tc>
          <w:tcPr>
            <w:tcW w:w="126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PNUD/Buxhet</w:t>
            </w:r>
            <w:r>
              <w:rPr>
                <w:rFonts w:ascii="Times New Roman" w:eastAsia="Tw Cen MT" w:hAnsi="Times New Roman" w:cs="Times New Roman"/>
              </w:rPr>
              <w:t>i</w:t>
            </w:r>
          </w:p>
        </w:tc>
        <w:tc>
          <w:tcPr>
            <w:tcW w:w="171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Po punohet nga ana e autorit</w:t>
            </w:r>
          </w:p>
        </w:tc>
      </w:tr>
      <w:tr w:rsidR="000B2E51" w:rsidRPr="00EE2DE7" w:rsidTr="000B2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3.</w:t>
            </w:r>
          </w:p>
        </w:tc>
        <w:tc>
          <w:tcPr>
            <w:tcW w:w="3494" w:type="dxa"/>
          </w:tcPr>
          <w:p w:rsidR="000B2E51" w:rsidRPr="00EE2DE7" w:rsidRDefault="000B2E51" w:rsidP="005372E3">
            <w:pPr>
              <w:jc w:val="both"/>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 xml:space="preserve">E </w:t>
            </w:r>
            <w:r>
              <w:rPr>
                <w:rFonts w:ascii="Times New Roman" w:eastAsia="Tw Cen MT" w:hAnsi="Times New Roman" w:cs="Times New Roman"/>
              </w:rPr>
              <w:t>d</w:t>
            </w:r>
            <w:r w:rsidRPr="00EE2DE7">
              <w:rPr>
                <w:rFonts w:ascii="Times New Roman" w:eastAsia="Tw Cen MT" w:hAnsi="Times New Roman" w:cs="Times New Roman"/>
              </w:rPr>
              <w:t xml:space="preserve">rejta </w:t>
            </w:r>
            <w:r>
              <w:rPr>
                <w:rFonts w:ascii="Times New Roman" w:eastAsia="Tw Cen MT" w:hAnsi="Times New Roman" w:cs="Times New Roman"/>
              </w:rPr>
              <w:t>t</w:t>
            </w:r>
            <w:r w:rsidRPr="00EE2DE7">
              <w:rPr>
                <w:rFonts w:ascii="Times New Roman" w:eastAsia="Tw Cen MT" w:hAnsi="Times New Roman" w:cs="Times New Roman"/>
              </w:rPr>
              <w:t xml:space="preserve">atimore – </w:t>
            </w:r>
            <w:r>
              <w:rPr>
                <w:rFonts w:ascii="Times New Roman" w:eastAsia="Tw Cen MT" w:hAnsi="Times New Roman" w:cs="Times New Roman"/>
              </w:rPr>
              <w:t>t</w:t>
            </w:r>
            <w:r w:rsidRPr="00EE2DE7">
              <w:rPr>
                <w:rFonts w:ascii="Times New Roman" w:eastAsia="Tw Cen MT" w:hAnsi="Times New Roman" w:cs="Times New Roman"/>
              </w:rPr>
              <w:t xml:space="preserve">ekst </w:t>
            </w:r>
            <w:r>
              <w:rPr>
                <w:rFonts w:ascii="Times New Roman" w:eastAsia="Tw Cen MT" w:hAnsi="Times New Roman" w:cs="Times New Roman"/>
              </w:rPr>
              <w:t>m</w:t>
            </w:r>
            <w:r w:rsidRPr="00EE2DE7">
              <w:rPr>
                <w:rFonts w:ascii="Times New Roman" w:eastAsia="Tw Cen MT" w:hAnsi="Times New Roman" w:cs="Times New Roman"/>
              </w:rPr>
              <w:t>ësimor - Vilma Sharofi</w:t>
            </w:r>
          </w:p>
        </w:tc>
        <w:tc>
          <w:tcPr>
            <w:tcW w:w="162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200 faqe</w:t>
            </w:r>
          </w:p>
        </w:tc>
        <w:tc>
          <w:tcPr>
            <w:tcW w:w="117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300</w:t>
            </w:r>
          </w:p>
        </w:tc>
        <w:tc>
          <w:tcPr>
            <w:tcW w:w="126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Buxhet</w:t>
            </w:r>
            <w:r>
              <w:rPr>
                <w:rFonts w:ascii="Times New Roman" w:eastAsia="Tw Cen MT" w:hAnsi="Times New Roman" w:cs="Times New Roman"/>
              </w:rPr>
              <w:t>i</w:t>
            </w:r>
          </w:p>
        </w:tc>
        <w:tc>
          <w:tcPr>
            <w:tcW w:w="171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Po punohet nga ana e autorit</w:t>
            </w:r>
          </w:p>
        </w:tc>
      </w:tr>
      <w:tr w:rsidR="000B2E51" w:rsidRPr="00EE2DE7" w:rsidTr="000B2E51">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4.</w:t>
            </w:r>
          </w:p>
        </w:tc>
        <w:tc>
          <w:tcPr>
            <w:tcW w:w="3494" w:type="dxa"/>
          </w:tcPr>
          <w:p w:rsidR="000B2E51" w:rsidRPr="00EE2DE7" w:rsidRDefault="000B2E51" w:rsidP="005372E3">
            <w:pPr>
              <w:jc w:val="both"/>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Magjistrati 10, 11</w:t>
            </w:r>
          </w:p>
        </w:tc>
        <w:tc>
          <w:tcPr>
            <w:tcW w:w="162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200 faqe (për secilin titull)</w:t>
            </w:r>
          </w:p>
        </w:tc>
        <w:tc>
          <w:tcPr>
            <w:tcW w:w="117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300 x 2 libra</w:t>
            </w:r>
          </w:p>
        </w:tc>
        <w:tc>
          <w:tcPr>
            <w:tcW w:w="126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GIZ/Buxhet</w:t>
            </w:r>
            <w:r>
              <w:rPr>
                <w:rFonts w:ascii="Times New Roman" w:eastAsia="Tw Cen MT" w:hAnsi="Times New Roman" w:cs="Times New Roman"/>
              </w:rPr>
              <w:t>i</w:t>
            </w:r>
          </w:p>
        </w:tc>
        <w:tc>
          <w:tcPr>
            <w:tcW w:w="171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Materialet janë gati, botimi n</w:t>
            </w:r>
            <w:r>
              <w:rPr>
                <w:rFonts w:ascii="Times New Roman" w:eastAsia="Tw Cen MT" w:hAnsi="Times New Roman" w:cs="Times New Roman"/>
              </w:rPr>
              <w:t>ë t</w:t>
            </w:r>
            <w:r w:rsidRPr="00EE2DE7">
              <w:rPr>
                <w:rFonts w:ascii="Times New Roman" w:eastAsia="Tw Cen MT" w:hAnsi="Times New Roman" w:cs="Times New Roman"/>
              </w:rPr>
              <w:t>etor</w:t>
            </w:r>
            <w:r>
              <w:rPr>
                <w:rFonts w:ascii="Times New Roman" w:eastAsia="Tw Cen MT" w:hAnsi="Times New Roman" w:cs="Times New Roman"/>
              </w:rPr>
              <w:t xml:space="preserve"> 2018</w:t>
            </w:r>
          </w:p>
        </w:tc>
      </w:tr>
      <w:tr w:rsidR="000B2E51" w:rsidRPr="00EE2DE7" w:rsidTr="000B2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5.</w:t>
            </w:r>
          </w:p>
        </w:tc>
        <w:tc>
          <w:tcPr>
            <w:tcW w:w="3494" w:type="dxa"/>
          </w:tcPr>
          <w:p w:rsidR="000B2E51" w:rsidRPr="00EE2DE7" w:rsidRDefault="000B2E51" w:rsidP="005372E3">
            <w:pPr>
              <w:jc w:val="both"/>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Pavlefshmëria</w:t>
            </w:r>
            <w:r>
              <w:rPr>
                <w:rFonts w:ascii="Times New Roman" w:eastAsia="Tw Cen MT" w:hAnsi="Times New Roman" w:cs="Times New Roman"/>
              </w:rPr>
              <w:t xml:space="preserve"> e akteve dhe papërdorshmëria e provave në</w:t>
            </w:r>
            <w:r w:rsidRPr="00EE2DE7">
              <w:rPr>
                <w:rFonts w:ascii="Times New Roman" w:eastAsia="Tw Cen MT" w:hAnsi="Times New Roman" w:cs="Times New Roman"/>
              </w:rPr>
              <w:t xml:space="preserve"> procesin penal – Henrik Ligori</w:t>
            </w:r>
          </w:p>
        </w:tc>
        <w:tc>
          <w:tcPr>
            <w:tcW w:w="162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200 faqe</w:t>
            </w:r>
          </w:p>
        </w:tc>
        <w:tc>
          <w:tcPr>
            <w:tcW w:w="117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300</w:t>
            </w:r>
          </w:p>
        </w:tc>
        <w:tc>
          <w:tcPr>
            <w:tcW w:w="126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Buxhet</w:t>
            </w:r>
            <w:r>
              <w:rPr>
                <w:rFonts w:ascii="Times New Roman" w:eastAsia="Tw Cen MT" w:hAnsi="Times New Roman" w:cs="Times New Roman"/>
              </w:rPr>
              <w:t>i</w:t>
            </w:r>
          </w:p>
        </w:tc>
        <w:tc>
          <w:tcPr>
            <w:tcW w:w="171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Po punohet nga ana e autorit</w:t>
            </w:r>
          </w:p>
        </w:tc>
      </w:tr>
      <w:tr w:rsidR="000B2E51" w:rsidRPr="00EE2DE7" w:rsidTr="000B2E51">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6.</w:t>
            </w:r>
          </w:p>
        </w:tc>
        <w:tc>
          <w:tcPr>
            <w:tcW w:w="3494" w:type="dxa"/>
          </w:tcPr>
          <w:p w:rsidR="000B2E51" w:rsidRPr="00EE2DE7" w:rsidRDefault="000B2E51" w:rsidP="005372E3">
            <w:pPr>
              <w:jc w:val="both"/>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Koment i procedurës penale – Dhimitër Lara</w:t>
            </w:r>
          </w:p>
        </w:tc>
        <w:tc>
          <w:tcPr>
            <w:tcW w:w="162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1400</w:t>
            </w:r>
          </w:p>
        </w:tc>
        <w:tc>
          <w:tcPr>
            <w:tcW w:w="117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200</w:t>
            </w:r>
          </w:p>
        </w:tc>
        <w:tc>
          <w:tcPr>
            <w:tcW w:w="2970" w:type="dxa"/>
            <w:gridSpan w:val="2"/>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Për botim</w:t>
            </w:r>
          </w:p>
        </w:tc>
      </w:tr>
      <w:tr w:rsidR="000B2E51" w:rsidRPr="00EE2DE7" w:rsidTr="000B2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7.</w:t>
            </w:r>
          </w:p>
        </w:tc>
        <w:tc>
          <w:tcPr>
            <w:tcW w:w="3494" w:type="dxa"/>
          </w:tcPr>
          <w:p w:rsidR="000B2E51" w:rsidRPr="00EE2DE7" w:rsidRDefault="000B2E51" w:rsidP="005372E3">
            <w:pPr>
              <w:jc w:val="both"/>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Komentari i të Drejtës Ndërkombëtare Private</w:t>
            </w:r>
          </w:p>
        </w:tc>
        <w:tc>
          <w:tcPr>
            <w:tcW w:w="162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Grup autoresh mbi 300 faqe</w:t>
            </w:r>
          </w:p>
        </w:tc>
        <w:tc>
          <w:tcPr>
            <w:tcW w:w="117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300</w:t>
            </w:r>
          </w:p>
        </w:tc>
        <w:tc>
          <w:tcPr>
            <w:tcW w:w="126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Donacion</w:t>
            </w:r>
          </w:p>
        </w:tc>
        <w:tc>
          <w:tcPr>
            <w:tcW w:w="171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Shpërndarë për recenc</w:t>
            </w:r>
            <w:r>
              <w:rPr>
                <w:rFonts w:ascii="Times New Roman" w:eastAsia="Tw Cen MT" w:hAnsi="Times New Roman" w:cs="Times New Roman"/>
              </w:rPr>
              <w:t>ë</w:t>
            </w:r>
          </w:p>
        </w:tc>
      </w:tr>
      <w:tr w:rsidR="000B2E51" w:rsidRPr="00EE2DE7" w:rsidTr="000B2E51">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8.</w:t>
            </w:r>
          </w:p>
        </w:tc>
        <w:tc>
          <w:tcPr>
            <w:tcW w:w="3494" w:type="dxa"/>
          </w:tcPr>
          <w:p w:rsidR="000B2E51" w:rsidRPr="00EE2DE7" w:rsidRDefault="000B2E51" w:rsidP="005372E3">
            <w:pPr>
              <w:jc w:val="both"/>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Analiza e provave –</w:t>
            </w:r>
          </w:p>
          <w:p w:rsidR="000B2E51" w:rsidRPr="00EE2DE7" w:rsidRDefault="000B2E51" w:rsidP="005372E3">
            <w:pPr>
              <w:jc w:val="both"/>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Grup autorësh të huaj</w:t>
            </w:r>
          </w:p>
        </w:tc>
        <w:tc>
          <w:tcPr>
            <w:tcW w:w="162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300 faqe</w:t>
            </w:r>
          </w:p>
        </w:tc>
        <w:tc>
          <w:tcPr>
            <w:tcW w:w="1170" w:type="dxa"/>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300</w:t>
            </w:r>
          </w:p>
        </w:tc>
        <w:tc>
          <w:tcPr>
            <w:tcW w:w="2970" w:type="dxa"/>
            <w:gridSpan w:val="2"/>
          </w:tcPr>
          <w:p w:rsidR="000B2E51" w:rsidRPr="00EE2DE7" w:rsidRDefault="000B2E51" w:rsidP="005372E3">
            <w:pPr>
              <w:jc w:val="center"/>
              <w:cnfStyle w:val="000000000000" w:firstRow="0" w:lastRow="0" w:firstColumn="0" w:lastColumn="0" w:oddVBand="0" w:evenVBand="0" w:oddHBand="0"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Buxhet</w:t>
            </w:r>
            <w:r>
              <w:rPr>
                <w:rFonts w:ascii="Times New Roman" w:eastAsia="Tw Cen MT" w:hAnsi="Times New Roman" w:cs="Times New Roman"/>
              </w:rPr>
              <w:t>i</w:t>
            </w:r>
          </w:p>
        </w:tc>
      </w:tr>
      <w:tr w:rsidR="000B2E51" w:rsidRPr="00EE2DE7" w:rsidTr="000B2E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6" w:type="dxa"/>
          </w:tcPr>
          <w:p w:rsidR="000B2E51" w:rsidRPr="009874AF" w:rsidRDefault="000B2E51" w:rsidP="005372E3">
            <w:pPr>
              <w:rPr>
                <w:rFonts w:ascii="Times New Roman" w:eastAsia="Tw Cen MT" w:hAnsi="Times New Roman" w:cs="Times New Roman"/>
                <w:b w:val="0"/>
              </w:rPr>
            </w:pPr>
            <w:r w:rsidRPr="009874AF">
              <w:rPr>
                <w:rFonts w:ascii="Times New Roman" w:eastAsia="Tw Cen MT" w:hAnsi="Times New Roman" w:cs="Times New Roman"/>
              </w:rPr>
              <w:t>9.</w:t>
            </w:r>
          </w:p>
        </w:tc>
        <w:tc>
          <w:tcPr>
            <w:tcW w:w="3494" w:type="dxa"/>
          </w:tcPr>
          <w:p w:rsidR="000B2E51" w:rsidRPr="00EE2DE7" w:rsidRDefault="000B2E51" w:rsidP="005372E3">
            <w:pPr>
              <w:jc w:val="both"/>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Mbrojtja e së Drejtës për lirinë e shprehjes sipas Konventës Europiane për të Drejtat e Njeriut</w:t>
            </w:r>
          </w:p>
        </w:tc>
        <w:tc>
          <w:tcPr>
            <w:tcW w:w="162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120</w:t>
            </w:r>
          </w:p>
        </w:tc>
        <w:tc>
          <w:tcPr>
            <w:tcW w:w="1170" w:type="dxa"/>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EE2DE7">
              <w:rPr>
                <w:rFonts w:ascii="Times New Roman" w:eastAsia="Tw Cen MT" w:hAnsi="Times New Roman" w:cs="Times New Roman"/>
              </w:rPr>
              <w:t>600</w:t>
            </w:r>
          </w:p>
        </w:tc>
        <w:tc>
          <w:tcPr>
            <w:tcW w:w="2970" w:type="dxa"/>
            <w:gridSpan w:val="2"/>
          </w:tcPr>
          <w:p w:rsidR="000B2E51" w:rsidRPr="00EE2DE7" w:rsidRDefault="000B2E51" w:rsidP="005372E3">
            <w:pPr>
              <w:jc w:val="center"/>
              <w:cnfStyle w:val="000000100000" w:firstRow="0" w:lastRow="0" w:firstColumn="0" w:lastColumn="0" w:oddVBand="0" w:evenVBand="0" w:oddHBand="1" w:evenHBand="0" w:firstRowFirstColumn="0" w:firstRowLastColumn="0" w:lastRowFirstColumn="0" w:lastRowLastColumn="0"/>
              <w:rPr>
                <w:rFonts w:ascii="Times New Roman" w:eastAsia="Tw Cen MT" w:hAnsi="Times New Roman" w:cs="Times New Roman"/>
              </w:rPr>
            </w:pPr>
            <w:r w:rsidRPr="005C516A">
              <w:rPr>
                <w:rFonts w:ascii="Times New Roman" w:eastAsia="Tw Cen MT" w:hAnsi="Times New Roman" w:cs="Times New Roman"/>
              </w:rPr>
              <w:t xml:space="preserve">Këshilli i Europës – </w:t>
            </w:r>
            <w:r>
              <w:rPr>
                <w:rFonts w:ascii="Times New Roman" w:eastAsia="Tw Cen MT" w:hAnsi="Times New Roman" w:cs="Times New Roman"/>
              </w:rPr>
              <w:t>botuar</w:t>
            </w:r>
          </w:p>
        </w:tc>
      </w:tr>
    </w:tbl>
    <w:p w:rsidR="000B2E51" w:rsidRDefault="000B2E51" w:rsidP="000B2E51">
      <w:pPr>
        <w:tabs>
          <w:tab w:val="left" w:pos="10260"/>
        </w:tabs>
        <w:jc w:val="both"/>
      </w:pPr>
    </w:p>
    <w:p w:rsidR="000B2E51" w:rsidRPr="000B2E51" w:rsidRDefault="000B2E51" w:rsidP="000B2E51">
      <w:pPr>
        <w:spacing w:line="276" w:lineRule="auto"/>
        <w:jc w:val="both"/>
        <w:rPr>
          <w:b/>
          <w:noProof/>
          <w:color w:val="CC9966" w:themeColor="accent2"/>
          <w:sz w:val="32"/>
          <w:lang w:eastAsia="en-US"/>
        </w:rPr>
      </w:pPr>
      <w:r w:rsidRPr="000B2E51">
        <w:rPr>
          <w:b/>
          <w:noProof/>
          <w:color w:val="CC9966" w:themeColor="accent2"/>
          <w:sz w:val="32"/>
          <w:lang w:eastAsia="en-US"/>
        </w:rPr>
        <w:t>4.3 Publikimet dhe puna kërkimore shkencore</w:t>
      </w:r>
    </w:p>
    <w:p w:rsidR="0001543C" w:rsidRDefault="0001543C" w:rsidP="0001543C">
      <w:pPr>
        <w:spacing w:line="276" w:lineRule="auto"/>
        <w:jc w:val="both"/>
        <w:rPr>
          <w:rFonts w:ascii="Tw Cen MT" w:eastAsia="Tw Cen MT" w:hAnsi="Tw Cen MT"/>
          <w:b/>
          <w:color w:val="355D7E"/>
          <w:spacing w:val="20"/>
          <w:kern w:val="24"/>
          <w:sz w:val="28"/>
          <w:szCs w:val="28"/>
        </w:rPr>
      </w:pPr>
    </w:p>
    <w:p w:rsidR="000B2E51" w:rsidRPr="00EE2DE7" w:rsidRDefault="000B2E51" w:rsidP="0001543C">
      <w:pPr>
        <w:spacing w:line="276" w:lineRule="auto"/>
        <w:jc w:val="both"/>
      </w:pPr>
      <w:r>
        <w:t>Publikimet dhe puna kërkimore</w:t>
      </w:r>
      <w:r w:rsidRPr="00EE2DE7">
        <w:t xml:space="preserve"> konsiderohen “çelës suksesi”</w:t>
      </w:r>
      <w:r>
        <w:t>. J</w:t>
      </w:r>
      <w:r w:rsidRPr="00EE2DE7">
        <w:t>o vetëm në formimin e magjistratëve të rinj, por edhe në shumë profesione dhe çështje të tjera akademike, e mendojmë kërkimin shkencor dhe publikimin si pika kyçe të veprimtarisë dhe prioriteteve të Shkollës.</w:t>
      </w:r>
    </w:p>
    <w:p w:rsidR="000B2E51" w:rsidRDefault="000B2E51" w:rsidP="000B2E51">
      <w:pPr>
        <w:spacing w:line="276" w:lineRule="auto"/>
        <w:ind w:firstLine="720"/>
        <w:jc w:val="both"/>
      </w:pPr>
      <w:r w:rsidRPr="00EE2DE7">
        <w:t xml:space="preserve">Gjatë periudhës 2018-2023, lidhur me prioritetet </w:t>
      </w:r>
      <w:r w:rsidRPr="00EE2DE7">
        <w:rPr>
          <w:bCs/>
        </w:rPr>
        <w:t>afatshkurtra dhe afatmesme të parashikuara në planin strategjik të Shkollës së Magjistraturës, ky program do të fokusohet në:</w:t>
      </w:r>
    </w:p>
    <w:p w:rsidR="000B2E51" w:rsidRDefault="000B2E51" w:rsidP="000B2E51">
      <w:pPr>
        <w:spacing w:line="276" w:lineRule="auto"/>
        <w:ind w:firstLine="720"/>
        <w:jc w:val="both"/>
      </w:pPr>
      <w:r w:rsidRPr="005C516A">
        <w:rPr>
          <w:b/>
        </w:rPr>
        <w:t>1.</w:t>
      </w:r>
      <w:r w:rsidRPr="00EE2DE7">
        <w:rPr>
          <w:b/>
        </w:rPr>
        <w:t xml:space="preserve"> </w:t>
      </w:r>
      <w:r w:rsidRPr="00EE2DE7">
        <w:t xml:space="preserve"> Përfshirj</w:t>
      </w:r>
      <w:r>
        <w:t>en</w:t>
      </w:r>
      <w:r w:rsidRPr="00EE2DE7">
        <w:t xml:space="preserve"> e gjyqtarëve dhe prokurorëve në fushën e publikimeve dhe forcimi</w:t>
      </w:r>
      <w:r>
        <w:t>n e</w:t>
      </w:r>
      <w:r w:rsidRPr="00EE2DE7">
        <w:t xml:space="preserve"> punës kërkimore </w:t>
      </w:r>
      <w:r>
        <w:t xml:space="preserve">e </w:t>
      </w:r>
      <w:r w:rsidRPr="00EE2DE7">
        <w:t xml:space="preserve">shkencore. </w:t>
      </w:r>
    </w:p>
    <w:p w:rsidR="000B2E51" w:rsidRDefault="000B2E51" w:rsidP="000B2E51">
      <w:pPr>
        <w:spacing w:line="276" w:lineRule="auto"/>
        <w:ind w:firstLine="720"/>
        <w:jc w:val="both"/>
      </w:pPr>
      <w:r w:rsidRPr="005C516A">
        <w:rPr>
          <w:b/>
        </w:rPr>
        <w:t>2.</w:t>
      </w:r>
      <w:r w:rsidRPr="00EE2DE7">
        <w:rPr>
          <w:b/>
        </w:rPr>
        <w:t xml:space="preserve"> </w:t>
      </w:r>
      <w:r>
        <w:t>B</w:t>
      </w:r>
      <w:r w:rsidRPr="009874AF">
        <w:t>otimin</w:t>
      </w:r>
      <w:r>
        <w:t xml:space="preserve"> </w:t>
      </w:r>
      <w:r w:rsidRPr="00EE2DE7">
        <w:t xml:space="preserve">nën emrin dhe kujdesin </w:t>
      </w:r>
      <w:r>
        <w:t>e Shkollës së Magjistraturës të teksteve dhe librave</w:t>
      </w:r>
      <w:r w:rsidRPr="00EE2DE7">
        <w:t xml:space="preserve"> të cilët trajtojnë probleme ligjore të lidhura ngushtë me programet e lëndëve dhe kurseve të Trajnimit Fille</w:t>
      </w:r>
      <w:r>
        <w:t xml:space="preserve">star e Vazhdues të gjyqtarëve </w:t>
      </w:r>
      <w:r w:rsidRPr="00EE2DE7">
        <w:t>e prokurorëve, duke synuar në unifikimin dhe ana</w:t>
      </w:r>
      <w:r>
        <w:t xml:space="preserve">lizimin e praktikës gjyqësore </w:t>
      </w:r>
      <w:r w:rsidRPr="00EE2DE7">
        <w:t>e juridike kombëtare dhe ndërkombëtare. Botimi i teksteve dhe librave shkencorë do të bëhet duke vijuar me procedurën e miratimit të tyre në Bordin e Redaktorëve dhe me dy recenca. Tekstet me karakter publicistik, historik dhe tërësisht teorik, të pailustruara me praktikë gjyqësore nuk janë në objektin dhe qëllimin e botimeve të Shkollës.</w:t>
      </w:r>
    </w:p>
    <w:p w:rsidR="000B2E51" w:rsidRDefault="000B2E51" w:rsidP="000B2E51">
      <w:pPr>
        <w:spacing w:line="276" w:lineRule="auto"/>
        <w:ind w:firstLine="720"/>
        <w:jc w:val="both"/>
      </w:pPr>
      <w:r w:rsidRPr="005C516A">
        <w:rPr>
          <w:b/>
        </w:rPr>
        <w:lastRenderedPageBreak/>
        <w:t>3.</w:t>
      </w:r>
      <w:r w:rsidRPr="00EE2DE7">
        <w:t xml:space="preserve"> Rishikimi</w:t>
      </w:r>
      <w:r>
        <w:t>n e</w:t>
      </w:r>
      <w:r w:rsidRPr="00EE2DE7">
        <w:t xml:space="preserve"> teksteve ligjore </w:t>
      </w:r>
      <w:r>
        <w:t>ekzistuese dhe bërjen</w:t>
      </w:r>
      <w:r w:rsidRPr="00EE2DE7">
        <w:t xml:space="preserve"> e një plani për botimin e leksioneve, manualeve, përgatitjen e teksteve më thelbësore që mungojnë, përditësimin e atyre që ekzistojnë dhe krijimin e një liste të teksteve të huaja që konsiderohen të dobishme. </w:t>
      </w:r>
    </w:p>
    <w:p w:rsidR="000B2E51" w:rsidRDefault="000B2E51" w:rsidP="000B2E51">
      <w:pPr>
        <w:spacing w:line="276" w:lineRule="auto"/>
        <w:ind w:firstLine="720"/>
        <w:jc w:val="both"/>
      </w:pPr>
      <w:r w:rsidRPr="005C516A">
        <w:rPr>
          <w:b/>
        </w:rPr>
        <w:t>4.</w:t>
      </w:r>
      <w:r w:rsidRPr="00EE2DE7">
        <w:t xml:space="preserve"> Botimi</w:t>
      </w:r>
      <w:r>
        <w:t>n e</w:t>
      </w:r>
      <w:r w:rsidRPr="00EE2DE7">
        <w:t xml:space="preserve"> temave të trajtuara në kuadër të Programit të Formimit Vazhdues. </w:t>
      </w:r>
    </w:p>
    <w:p w:rsidR="000B2E51" w:rsidRDefault="000B2E51" w:rsidP="000B2E51">
      <w:pPr>
        <w:spacing w:line="276" w:lineRule="auto"/>
        <w:ind w:firstLine="720"/>
        <w:jc w:val="both"/>
      </w:pPr>
      <w:r w:rsidRPr="005C516A">
        <w:rPr>
          <w:b/>
        </w:rPr>
        <w:t>5.</w:t>
      </w:r>
      <w:r w:rsidRPr="00EE2DE7">
        <w:t xml:space="preserve"> Botimi</w:t>
      </w:r>
      <w:r>
        <w:t>n e</w:t>
      </w:r>
      <w:r w:rsidRPr="00EE2DE7">
        <w:t xml:space="preserve"> librave me </w:t>
      </w:r>
      <w:r>
        <w:t>p</w:t>
      </w:r>
      <w:r w:rsidRPr="00EE2DE7">
        <w:t xml:space="preserve">raktikë </w:t>
      </w:r>
      <w:r>
        <w:t>g</w:t>
      </w:r>
      <w:r w:rsidRPr="00EE2DE7">
        <w:t>jyqësore (</w:t>
      </w:r>
      <w:r w:rsidRPr="005C516A">
        <w:rPr>
          <w:i/>
        </w:rPr>
        <w:t>Case study</w:t>
      </w:r>
      <w:r w:rsidRPr="00EE2DE7">
        <w:t xml:space="preserve">) për Trajnimin Fillestar. </w:t>
      </w:r>
    </w:p>
    <w:p w:rsidR="000B2E51" w:rsidRDefault="000B2E51" w:rsidP="000B2E51">
      <w:pPr>
        <w:spacing w:line="276" w:lineRule="auto"/>
        <w:ind w:firstLine="720"/>
        <w:jc w:val="both"/>
      </w:pPr>
      <w:r w:rsidRPr="005C516A">
        <w:rPr>
          <w:b/>
        </w:rPr>
        <w:t>6.</w:t>
      </w:r>
      <w:r w:rsidRPr="00EE2DE7">
        <w:t xml:space="preserve"> Ngritjen e një qendre burimore për të drejtën e</w:t>
      </w:r>
      <w:r>
        <w:t>u</w:t>
      </w:r>
      <w:r w:rsidRPr="00EE2DE7">
        <w:t xml:space="preserve">ropiane dhe të drejtat e njeriut, në shërbim të sistemit të drejtësisë në Shqipëri. </w:t>
      </w:r>
    </w:p>
    <w:p w:rsidR="000B2E51" w:rsidRDefault="000B2E51" w:rsidP="000B2E51">
      <w:pPr>
        <w:spacing w:line="276" w:lineRule="auto"/>
        <w:ind w:firstLine="720"/>
        <w:jc w:val="both"/>
      </w:pPr>
      <w:r w:rsidRPr="005C516A">
        <w:rPr>
          <w:b/>
        </w:rPr>
        <w:t>7.</w:t>
      </w:r>
      <w:r w:rsidRPr="00EE2DE7">
        <w:t xml:space="preserve"> Zhvillimi</w:t>
      </w:r>
      <w:r>
        <w:t>n</w:t>
      </w:r>
      <w:r w:rsidRPr="00EE2DE7">
        <w:t xml:space="preserve"> dhe përmirësimi</w:t>
      </w:r>
      <w:r>
        <w:t>n e vazhdueshëm të</w:t>
      </w:r>
      <w:r w:rsidRPr="00EE2DE7">
        <w:t xml:space="preserve"> bibliotekës, e cila është thelbësore për magjistratët që kryejnë Formimin Fillestar dhe Vazhdues, si edhe qenien e një burimi për të diplomuarit (në rastin tonë për gjyqtarët dhe prokurorët) dhe të </w:t>
      </w:r>
      <w:r>
        <w:t>interesuarit e tjerë</w:t>
      </w:r>
      <w:r w:rsidRPr="00EE2DE7">
        <w:t xml:space="preserve">. </w:t>
      </w:r>
    </w:p>
    <w:p w:rsidR="000B2E51" w:rsidRDefault="000B2E51" w:rsidP="000B2E51">
      <w:pPr>
        <w:spacing w:line="276" w:lineRule="auto"/>
        <w:ind w:firstLine="720"/>
        <w:jc w:val="both"/>
      </w:pPr>
      <w:r w:rsidRPr="005C516A">
        <w:rPr>
          <w:b/>
        </w:rPr>
        <w:t>8.</w:t>
      </w:r>
      <w:r w:rsidRPr="00EE2DE7">
        <w:t xml:space="preserve"> Zhvillimi</w:t>
      </w:r>
      <w:r>
        <w:t>n</w:t>
      </w:r>
      <w:r w:rsidRPr="00EE2DE7">
        <w:t xml:space="preserve"> dhe thellimi</w:t>
      </w:r>
      <w:r>
        <w:t>n e</w:t>
      </w:r>
      <w:r w:rsidRPr="00EE2DE7">
        <w:t xml:space="preserve"> lidhjeve tona me bibliotekat e shkollave e</w:t>
      </w:r>
      <w:r>
        <w:t>u</w:t>
      </w:r>
      <w:r w:rsidRPr="00EE2DE7">
        <w:t>ropiane të magjistraturës dhe institucioneve të tjera ligjore. Prioritet do të jetë sigurimi i aksesit/qasjes në biblioteka dhe database online.</w:t>
      </w:r>
    </w:p>
    <w:p w:rsidR="000B2E51" w:rsidRDefault="000B2E51" w:rsidP="000B2E51">
      <w:pPr>
        <w:spacing w:line="276" w:lineRule="auto"/>
        <w:ind w:firstLine="720"/>
        <w:jc w:val="both"/>
      </w:pPr>
      <w:r w:rsidRPr="005C516A">
        <w:rPr>
          <w:b/>
        </w:rPr>
        <w:t>9.</w:t>
      </w:r>
      <w:r>
        <w:t xml:space="preserve"> Përgatitjen</w:t>
      </w:r>
      <w:r w:rsidRPr="00EE2DE7">
        <w:t xml:space="preserve"> e librave, manualeve, kurseve dhe moduleve për lëndë apo tema që trajtohen në procesin e Formimit Fillestar të magjistratëve. Motivimi</w:t>
      </w:r>
      <w:r>
        <w:t>n</w:t>
      </w:r>
      <w:r w:rsidRPr="00EE2DE7">
        <w:t xml:space="preserve"> dhe trajnimi</w:t>
      </w:r>
      <w:r>
        <w:t>n e</w:t>
      </w:r>
      <w:r w:rsidRPr="00EE2DE7">
        <w:t xml:space="preserve"> kandidatëve për magjistratë për të hulumtuar dhe shkruar ese e tema me qëllim botimin e punimeve më të mira ose të pjesëve të tyre. </w:t>
      </w:r>
    </w:p>
    <w:p w:rsidR="000B2E51" w:rsidRDefault="000B2E51" w:rsidP="000B2E51">
      <w:pPr>
        <w:spacing w:line="276" w:lineRule="auto"/>
        <w:ind w:firstLine="720"/>
        <w:jc w:val="both"/>
      </w:pPr>
      <w:r w:rsidRPr="005C516A">
        <w:rPr>
          <w:b/>
        </w:rPr>
        <w:t>10.</w:t>
      </w:r>
      <w:r w:rsidRPr="00EE2DE7">
        <w:t xml:space="preserve"> Përmirësimi</w:t>
      </w:r>
      <w:r>
        <w:t>n në vazhdimësi të punës kërkimore-</w:t>
      </w:r>
      <w:r w:rsidRPr="00EE2DE7">
        <w:t xml:space="preserve">shkencore nëpërmjet Klinikës Ligjore dhe Kërkimore me qëllim ndërgjegjësimin e kandidatëve për magjistratë për çështje të tilla, si: motivimi, argumentimi, transparenca dhe shteti i së drejtës. Duke bërë punë kërkimore ligjore krahasuese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dhe prokuroritë ku do të punojnë në të ardhmen. Krahas kësaj, kjo Klinikë do të ketë një </w:t>
      </w:r>
      <w:r>
        <w:t>ndikim</w:t>
      </w:r>
      <w:r w:rsidRPr="00EE2DE7">
        <w:t xml:space="preserve"> pozitiv në cilësinë (përsa i përket motivimit dhe argumentimit) e institucioneve kyçe të sistemit gjyqësor në vendin tonë. Ky </w:t>
      </w:r>
      <w:r>
        <w:t>ndikim</w:t>
      </w:r>
      <w:r w:rsidRPr="00EE2DE7">
        <w:t xml:space="preserve"> pozitiv do të jetë rezultat jo vetëm i konsulencës që do të marrin institucionet nga kandidatët për magjistratë, por edhe nga trajnimi që do të kenë stafi mbështetës i këtyre institucioneve gjatë kohës së projektit. Ky kurs do të kontribuojë në konsolidimin e profilit të Shkollës si një institucion kyç në edukimin ligjor, që kombinon edukimin profesional me kërkimin akademik. </w:t>
      </w:r>
    </w:p>
    <w:p w:rsidR="000B2E51" w:rsidRDefault="000B2E51" w:rsidP="000B2E51">
      <w:pPr>
        <w:spacing w:line="276" w:lineRule="auto"/>
        <w:ind w:firstLine="720"/>
        <w:jc w:val="both"/>
      </w:pPr>
      <w:r w:rsidRPr="005C516A">
        <w:rPr>
          <w:b/>
        </w:rPr>
        <w:t>11.</w:t>
      </w:r>
      <w:r w:rsidRPr="00EE2DE7">
        <w:t xml:space="preserve"> Përgatitjen </w:t>
      </w:r>
      <w:r>
        <w:t>e</w:t>
      </w:r>
      <w:r w:rsidRPr="00EE2DE7">
        <w:t xml:space="preserve"> teksteve dhe cikleve të leksioneve me grupe autorësh dhe shtimin e botimeve nga ana e ekspertëve të </w:t>
      </w:r>
      <w:r>
        <w:t>S</w:t>
      </w:r>
      <w:r w:rsidRPr="00EE2DE7">
        <w:t>hkollës.</w:t>
      </w:r>
    </w:p>
    <w:p w:rsidR="000B2E51" w:rsidRPr="000B2E51" w:rsidRDefault="000B2E51" w:rsidP="000B2E51">
      <w:pPr>
        <w:spacing w:line="276" w:lineRule="auto"/>
        <w:ind w:firstLine="720"/>
        <w:jc w:val="both"/>
      </w:pPr>
    </w:p>
    <w:p w:rsidR="000B2E51" w:rsidRPr="000B2E51" w:rsidRDefault="000B2E51" w:rsidP="000B2E51">
      <w:pPr>
        <w:spacing w:line="276" w:lineRule="auto"/>
        <w:jc w:val="both"/>
        <w:rPr>
          <w:b/>
          <w:noProof/>
          <w:color w:val="CC9966" w:themeColor="accent2"/>
          <w:sz w:val="32"/>
          <w:lang w:eastAsia="en-US"/>
        </w:rPr>
      </w:pPr>
      <w:r w:rsidRPr="000B2E51">
        <w:rPr>
          <w:b/>
          <w:noProof/>
          <w:color w:val="CC9966" w:themeColor="accent2"/>
          <w:sz w:val="32"/>
          <w:lang w:eastAsia="en-US"/>
        </w:rPr>
        <w:t xml:space="preserve">4.4 Biblioteka </w:t>
      </w:r>
    </w:p>
    <w:p w:rsidR="0001543C" w:rsidRDefault="0001543C" w:rsidP="0001543C">
      <w:pPr>
        <w:spacing w:line="276" w:lineRule="auto"/>
        <w:jc w:val="both"/>
        <w:rPr>
          <w:rFonts w:eastAsia="Tw Cen MT"/>
          <w:b/>
          <w:color w:val="355D7E"/>
          <w:spacing w:val="20"/>
          <w:kern w:val="24"/>
          <w:sz w:val="28"/>
          <w:szCs w:val="28"/>
        </w:rPr>
      </w:pPr>
    </w:p>
    <w:p w:rsidR="000B2E51" w:rsidRPr="00EE2DE7" w:rsidRDefault="000B2E51" w:rsidP="0001543C">
      <w:pPr>
        <w:spacing w:line="276" w:lineRule="auto"/>
        <w:jc w:val="both"/>
        <w:rPr>
          <w:rFonts w:eastAsia="Tw Cen MT"/>
          <w:kern w:val="24"/>
        </w:rPr>
      </w:pPr>
      <w:r w:rsidRPr="00EE2DE7">
        <w:rPr>
          <w:rFonts w:eastAsia="Tw Cen MT"/>
          <w:kern w:val="24"/>
        </w:rPr>
        <w:t>Biblioteka, si pjesë e Sektorit të Studimeve dhe Publikimeve, ka vazhduar t’i shërbejë kandidatëve për magjistratë, stafit akademik dhe administrativ të Shkollës, në ndihmë të zhvillimit të procesit mësimor dhe aktiviteteve të tjera të zhvilluara nga Shkolla gjatë vitit akademik 2017-2018.</w:t>
      </w:r>
    </w:p>
    <w:p w:rsidR="000B2E51" w:rsidRPr="00EE2DE7" w:rsidRDefault="000B2E51" w:rsidP="000B2E51">
      <w:pPr>
        <w:spacing w:line="276" w:lineRule="auto"/>
        <w:ind w:firstLine="720"/>
        <w:jc w:val="both"/>
        <w:rPr>
          <w:rFonts w:eastAsia="Tw Cen MT"/>
          <w:kern w:val="24"/>
        </w:rPr>
      </w:pPr>
      <w:r w:rsidRPr="00EE2DE7">
        <w:rPr>
          <w:rFonts w:eastAsia="Tw Cen MT"/>
          <w:kern w:val="24"/>
        </w:rPr>
        <w:t>Fondi i Bibliotekës pasurohet vazhdimisht me literaturë të re në fushën e jurisprudencës. Literatura e re që i</w:t>
      </w:r>
      <w:r>
        <w:rPr>
          <w:rFonts w:eastAsia="Tw Cen MT"/>
          <w:kern w:val="24"/>
        </w:rPr>
        <w:t>u shtua</w:t>
      </w:r>
      <w:r w:rsidRPr="00EE2DE7">
        <w:rPr>
          <w:rFonts w:eastAsia="Tw Cen MT"/>
          <w:kern w:val="24"/>
        </w:rPr>
        <w:t xml:space="preserve"> fondit për vitin akademik 2017- 2018 konsiston në 43 tituj, ardhur në 136 kopje gjithsej, nga dhurime, blerje dhe botime vetjake. Koleksioni i veçantë i </w:t>
      </w:r>
      <w:r>
        <w:rPr>
          <w:rFonts w:eastAsia="Tw Cen MT"/>
          <w:kern w:val="24"/>
        </w:rPr>
        <w:t>t</w:t>
      </w:r>
      <w:r w:rsidRPr="00EE2DE7">
        <w:rPr>
          <w:rFonts w:eastAsia="Tw Cen MT"/>
          <w:kern w:val="24"/>
        </w:rPr>
        <w:t>emave të kandidatëve për magjistra</w:t>
      </w:r>
      <w:r>
        <w:rPr>
          <w:rFonts w:eastAsia="Tw Cen MT"/>
          <w:kern w:val="24"/>
        </w:rPr>
        <w:t xml:space="preserve">të të vitit të dytë u shtua me </w:t>
      </w:r>
      <w:r w:rsidRPr="00EE2DE7">
        <w:rPr>
          <w:rFonts w:eastAsia="Tw Cen MT"/>
          <w:kern w:val="24"/>
        </w:rPr>
        <w:t xml:space="preserve">25 tema të reja. Të gjithë titujt e rinj që i janë shtuar fondit të bibliotekës janë </w:t>
      </w:r>
      <w:r w:rsidRPr="00EE2DE7">
        <w:rPr>
          <w:rFonts w:eastAsia="Tw Cen MT"/>
          <w:kern w:val="24"/>
        </w:rPr>
        <w:lastRenderedPageBreak/>
        <w:t>regjistruar në bazën e të dhënave elektronike të Bibliotekës së Shkollës së Magjistraturës me një përshkrim të plotë bibliografik.</w:t>
      </w:r>
    </w:p>
    <w:p w:rsidR="000B2E51" w:rsidRPr="00EE2DE7" w:rsidRDefault="000B2E51" w:rsidP="000B2E51">
      <w:pPr>
        <w:spacing w:line="276" w:lineRule="auto"/>
        <w:ind w:firstLine="720"/>
        <w:jc w:val="both"/>
        <w:rPr>
          <w:rFonts w:eastAsia="Tw Cen MT"/>
          <w:kern w:val="24"/>
        </w:rPr>
      </w:pPr>
      <w:r w:rsidRPr="00EE2DE7">
        <w:rPr>
          <w:rFonts w:eastAsia="Tw Cen MT"/>
          <w:kern w:val="24"/>
        </w:rPr>
        <w:t xml:space="preserve">Vazhdon regjistrimi bibliografik i gjithë fondit të bibliotekës në bazën lokale të të dhënave bibliografike, pjesë e sistemit </w:t>
      </w:r>
      <w:r w:rsidRPr="001F38D0">
        <w:rPr>
          <w:rFonts w:eastAsia="Tw Cen MT"/>
          <w:i/>
          <w:kern w:val="24"/>
        </w:rPr>
        <w:t>COBISS.net</w:t>
      </w:r>
      <w:r w:rsidRPr="00EE2DE7">
        <w:rPr>
          <w:rFonts w:eastAsia="Tw Cen MT"/>
          <w:kern w:val="24"/>
        </w:rPr>
        <w:t>, një sistem i regjistrimit bibliografik dhe katalogimit të përbashkët online për të gjithë E</w:t>
      </w:r>
      <w:r>
        <w:rPr>
          <w:rFonts w:eastAsia="Tw Cen MT"/>
          <w:kern w:val="24"/>
        </w:rPr>
        <w:t>u</w:t>
      </w:r>
      <w:r w:rsidRPr="00EE2DE7">
        <w:rPr>
          <w:rFonts w:eastAsia="Tw Cen MT"/>
          <w:kern w:val="24"/>
        </w:rPr>
        <w:t>ropën Juglindore. </w:t>
      </w:r>
    </w:p>
    <w:p w:rsidR="000B2E51" w:rsidRPr="00EE2DE7" w:rsidRDefault="000B2E51" w:rsidP="000B2E51">
      <w:pPr>
        <w:spacing w:line="276" w:lineRule="auto"/>
        <w:ind w:firstLine="720"/>
        <w:jc w:val="both"/>
        <w:rPr>
          <w:rFonts w:eastAsia="Tw Cen MT"/>
          <w:kern w:val="24"/>
        </w:rPr>
      </w:pPr>
      <w:r w:rsidRPr="00EE2DE7">
        <w:rPr>
          <w:rFonts w:eastAsia="Tw Cen MT"/>
          <w:kern w:val="24"/>
        </w:rPr>
        <w:t xml:space="preserve">Biblioteka e Shkollës së Magjistraturës si rrjedhojë e kërkesës së vazhdueshme të studentëve, pedagogëve dhe ekspertëve të drejtësisë, të cilët nuk janë në marrëdhënie me Shkollën, ka hapur dyert e saj për të ofruar shërbimin e leximit në sallë. Vihet re një interes i vazhdueshëm dhe i shtuar i personave jo-anëtarë të bibliotekës për leximin e temave të magjistratëve të vitit të dytë. Në të gjitha rastet, pavarësisht kapaciteteve të pakta infrastrukturore të Bibliotekës, është mundësuar shërbimi i leximit në sallë dhe është mbajtur evidenca për lexueshmërinë e secilës temë. </w:t>
      </w:r>
    </w:p>
    <w:p w:rsidR="000B2E51" w:rsidRPr="00EE2DE7" w:rsidRDefault="000B2E51" w:rsidP="000B2E51">
      <w:pPr>
        <w:spacing w:line="276" w:lineRule="auto"/>
        <w:ind w:firstLine="720"/>
        <w:jc w:val="both"/>
        <w:rPr>
          <w:rFonts w:eastAsia="Tw Cen MT"/>
          <w:kern w:val="24"/>
        </w:rPr>
      </w:pPr>
      <w:r w:rsidRPr="00EE2DE7">
        <w:rPr>
          <w:rFonts w:eastAsia="Tw Cen MT"/>
          <w:kern w:val="24"/>
        </w:rPr>
        <w:t>Zhvillimi dhe përmirësimi i vazhdueshëm i bibliotekës, e cila është thelbësore për magjistratët që kryejnë Formimin Fillestar dhe Vazhdues, si edhe qenien e një burimi për të diplomuarit (në rastin tonë për gjyqtarët dhe prokurorët) dhe të tjerët është prioritet i Shkollës. Prioritetet tona afatshkurtra, për bibliotekën përfshijnë përdorimin e teknologjive elektronike, pasurimin e bibliotekës me materiale shqiptare e të huaja për të përballuar kurset e reja që do të zhvillohen dhe thellimin e lidhjeve tona me bibliotekat e shkollave e</w:t>
      </w:r>
      <w:r>
        <w:rPr>
          <w:rFonts w:eastAsia="Tw Cen MT"/>
          <w:kern w:val="24"/>
        </w:rPr>
        <w:t>u</w:t>
      </w:r>
      <w:r w:rsidRPr="00EE2DE7">
        <w:rPr>
          <w:rFonts w:eastAsia="Tw Cen MT"/>
          <w:kern w:val="24"/>
        </w:rPr>
        <w:t>ropiane të magjistraturës dhe institucioneve të tjera ligjore. Prioritet do të jetë sigurimi i aksesit në biblioteka dhe database online.</w:t>
      </w:r>
    </w:p>
    <w:p w:rsidR="000B2E51" w:rsidRPr="00EE2DE7" w:rsidRDefault="000B2E51" w:rsidP="000B2E51">
      <w:pPr>
        <w:spacing w:line="276" w:lineRule="auto"/>
        <w:ind w:firstLine="720"/>
        <w:jc w:val="both"/>
        <w:rPr>
          <w:rFonts w:eastAsia="Tw Cen MT"/>
          <w:kern w:val="24"/>
        </w:rPr>
      </w:pPr>
      <w:r w:rsidRPr="00EE2DE7">
        <w:rPr>
          <w:rFonts w:eastAsia="Tw Cen MT"/>
          <w:kern w:val="24"/>
        </w:rPr>
        <w:t>Në bibliotekën tonë, do t’i kushtojmë përpjekje katalogimit të burimeve tona në përputhje me praktikat standarde të bibliotekave, duke vazhduar të shfrytëzojmë teknologjitë e reja dhe duke qenë një shërbim mbështetjeje efikas për sektorët ose departamentet e reja për botim dhe punë kërkimore.</w:t>
      </w:r>
    </w:p>
    <w:p w:rsidR="000B2E51" w:rsidRDefault="000B2E51" w:rsidP="00386F89">
      <w:pPr>
        <w:tabs>
          <w:tab w:val="left" w:pos="10260"/>
        </w:tabs>
        <w:ind w:firstLine="360"/>
        <w:jc w:val="both"/>
      </w:pPr>
    </w:p>
    <w:p w:rsidR="000B2E51" w:rsidRDefault="000B2E51" w:rsidP="00386F89">
      <w:pPr>
        <w:tabs>
          <w:tab w:val="left" w:pos="10260"/>
        </w:tabs>
        <w:ind w:firstLine="360"/>
        <w:jc w:val="both"/>
      </w:pPr>
    </w:p>
    <w:p w:rsidR="000B2E51" w:rsidRDefault="000B2E51"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B2E51" w:rsidRDefault="000B2E51" w:rsidP="00386F89">
      <w:pPr>
        <w:tabs>
          <w:tab w:val="left" w:pos="10260"/>
        </w:tabs>
        <w:ind w:firstLine="360"/>
        <w:jc w:val="both"/>
      </w:pPr>
    </w:p>
    <w:p w:rsidR="000B2E51" w:rsidRDefault="000B2E51" w:rsidP="00386F89">
      <w:pPr>
        <w:tabs>
          <w:tab w:val="left" w:pos="10260"/>
        </w:tabs>
        <w:ind w:firstLine="360"/>
        <w:jc w:val="both"/>
      </w:pPr>
    </w:p>
    <w:p w:rsidR="000B2E51" w:rsidRDefault="000B2E51" w:rsidP="00386F89">
      <w:pPr>
        <w:tabs>
          <w:tab w:val="left" w:pos="10260"/>
        </w:tabs>
        <w:ind w:firstLine="360"/>
        <w:jc w:val="both"/>
      </w:pPr>
    </w:p>
    <w:p w:rsidR="000B2E51" w:rsidRDefault="000B2E51" w:rsidP="00386F89">
      <w:pPr>
        <w:tabs>
          <w:tab w:val="left" w:pos="10260"/>
        </w:tabs>
        <w:ind w:firstLine="360"/>
        <w:jc w:val="both"/>
      </w:pPr>
    </w:p>
    <w:p w:rsidR="00E57AC8" w:rsidRDefault="00E57AC8" w:rsidP="00386F89">
      <w:pPr>
        <w:tabs>
          <w:tab w:val="left" w:pos="10260"/>
        </w:tabs>
        <w:ind w:firstLine="360"/>
        <w:jc w:val="both"/>
      </w:pPr>
    </w:p>
    <w:p w:rsidR="00E57AC8" w:rsidRDefault="00CF3AE0" w:rsidP="00386F89">
      <w:pPr>
        <w:tabs>
          <w:tab w:val="left" w:pos="10260"/>
        </w:tabs>
        <w:ind w:firstLine="360"/>
        <w:jc w:val="both"/>
      </w:pPr>
      <w:r>
        <w:rPr>
          <w:noProof/>
          <w:lang w:eastAsia="en-US"/>
        </w:rPr>
        <w:lastRenderedPageBreak/>
        <w:pict>
          <v:rect id="_x0000_s1087" style="position:absolute;left:0;text-align:left;margin-left:-.75pt;margin-top:3.45pt;width:602.05pt;height:49.05pt;z-index:251755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" fillcolor="#4f81bd" stroked="f" strokeweight="2pt">
            <v:textbox>
              <w:txbxContent>
                <w:p w:rsidR="005372E3" w:rsidRPr="0001543C" w:rsidRDefault="005372E3" w:rsidP="0001543C">
                  <w:pPr>
                    <w:rPr>
                      <w:sz w:val="16"/>
                      <w:szCs w:val="56"/>
                    </w:rPr>
                  </w:pPr>
                  <w:r w:rsidRPr="0001543C">
                    <w:rPr>
                      <w:b/>
                      <w:color w:val="FFFFFF" w:themeColor="background1"/>
                      <w:sz w:val="40"/>
                      <w:szCs w:val="56"/>
                    </w:rPr>
                    <w:t>5. PËRDORIMI I TEKNOLOGJISË SË PËRPARUAR TË INFORMACIONIT</w:t>
                  </w:r>
                </w:p>
              </w:txbxContent>
            </v:textbox>
          </v:rect>
        </w:pict>
      </w: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Default="0001543C" w:rsidP="00386F89">
      <w:pPr>
        <w:tabs>
          <w:tab w:val="left" w:pos="10260"/>
        </w:tabs>
        <w:ind w:firstLine="360"/>
        <w:jc w:val="both"/>
      </w:pPr>
    </w:p>
    <w:p w:rsidR="0001543C" w:rsidRPr="0001543C" w:rsidRDefault="0001543C" w:rsidP="0001543C">
      <w:pPr>
        <w:spacing w:line="276" w:lineRule="auto"/>
        <w:jc w:val="both"/>
        <w:rPr>
          <w:b/>
          <w:noProof/>
          <w:color w:val="CC9966" w:themeColor="accent2"/>
          <w:sz w:val="32"/>
          <w:lang w:eastAsia="en-US"/>
        </w:rPr>
      </w:pPr>
      <w:r w:rsidRPr="0001543C">
        <w:rPr>
          <w:b/>
          <w:noProof/>
          <w:color w:val="CC9966" w:themeColor="accent2"/>
          <w:sz w:val="32"/>
          <w:lang w:eastAsia="en-US"/>
        </w:rPr>
        <w:t xml:space="preserve">5.1. Aksesi në faqen zyrtare të Shkollës së Magjistraturës </w:t>
      </w:r>
    </w:p>
    <w:p w:rsidR="0001543C" w:rsidRDefault="0001543C" w:rsidP="0001543C">
      <w:pPr>
        <w:tabs>
          <w:tab w:val="left" w:pos="10260"/>
        </w:tabs>
        <w:jc w:val="both"/>
      </w:pPr>
    </w:p>
    <w:p w:rsidR="0001543C" w:rsidRPr="0001543C" w:rsidRDefault="0001543C" w:rsidP="0001543C">
      <w:pPr>
        <w:spacing w:line="276" w:lineRule="auto"/>
        <w:jc w:val="both"/>
        <w:rPr>
          <w:rFonts w:ascii="Calibri" w:eastAsia="Calibri" w:hAnsi="Calibri"/>
          <w:kern w:val="24"/>
          <w:sz w:val="23"/>
          <w:szCs w:val="23"/>
        </w:rPr>
      </w:pPr>
      <w:r w:rsidRPr="00EE2DE7">
        <w:rPr>
          <w:rFonts w:eastAsia="Calibri"/>
          <w:kern w:val="24"/>
          <w:szCs w:val="23"/>
        </w:rPr>
        <w:t xml:space="preserve">Shkolla e Magjistraturës ka siguruar akses në internet dhe gjithashtu ka faqen e saj zyrtare në shqip dhe anglisht me adresë: </w:t>
      </w:r>
      <w:hyperlink r:id="rId44" w:history="1">
        <w:r w:rsidRPr="001F38D0">
          <w:rPr>
            <w:rFonts w:eastAsia="Calibri"/>
            <w:b/>
            <w:i/>
            <w:color w:val="2E74B5"/>
            <w:kern w:val="24"/>
            <w:szCs w:val="23"/>
          </w:rPr>
          <w:t>www.magjistratura.edu.al</w:t>
        </w:r>
      </w:hyperlink>
      <w:r w:rsidRPr="00EE2DE7">
        <w:rPr>
          <w:rFonts w:eastAsia="Calibri"/>
          <w:color w:val="2E74B5"/>
          <w:kern w:val="24"/>
          <w:szCs w:val="23"/>
        </w:rPr>
        <w:t xml:space="preserve"> </w:t>
      </w:r>
      <w:r w:rsidRPr="00EE2DE7">
        <w:rPr>
          <w:rFonts w:eastAsia="Calibri"/>
          <w:kern w:val="24"/>
          <w:szCs w:val="23"/>
        </w:rPr>
        <w:t>Faqja e internetit është mirëmbajtur në mënyrë të vazhdueshme në përmbajtje dhe në konfigurim.</w:t>
      </w:r>
    </w:p>
    <w:p w:rsidR="0001543C" w:rsidRPr="00EE2DE7" w:rsidRDefault="0001543C" w:rsidP="0001543C">
      <w:pPr>
        <w:spacing w:line="276" w:lineRule="auto"/>
        <w:ind w:firstLine="720"/>
        <w:jc w:val="both"/>
        <w:rPr>
          <w:rFonts w:eastAsia="Calibri"/>
          <w:kern w:val="24"/>
          <w:szCs w:val="23"/>
        </w:rPr>
      </w:pPr>
      <w:r w:rsidRPr="00EE2DE7">
        <w:rPr>
          <w:rFonts w:eastAsia="Calibri"/>
          <w:kern w:val="24"/>
          <w:szCs w:val="23"/>
        </w:rPr>
        <w:t xml:space="preserve">Në faqen e </w:t>
      </w:r>
      <w:r>
        <w:rPr>
          <w:rFonts w:eastAsia="Calibri"/>
          <w:kern w:val="24"/>
          <w:szCs w:val="23"/>
        </w:rPr>
        <w:t>i</w:t>
      </w:r>
      <w:r w:rsidRPr="00EE2DE7">
        <w:rPr>
          <w:rFonts w:eastAsia="Calibri"/>
          <w:kern w:val="24"/>
          <w:szCs w:val="23"/>
        </w:rPr>
        <w:t>nternetit përditësohen informacione të ndryshme që i vijnë në ndihmë çdo përdoruesi, duke filluar me një prezantim të përmbledhur për Shkollën te rubrika “</w:t>
      </w:r>
      <w:r w:rsidRPr="00EE2DE7">
        <w:rPr>
          <w:rFonts w:eastAsia="Calibri"/>
          <w:b/>
          <w:i/>
          <w:kern w:val="24"/>
          <w:szCs w:val="23"/>
        </w:rPr>
        <w:t>Rreth nesh</w:t>
      </w:r>
      <w:r w:rsidRPr="00EE2DE7">
        <w:rPr>
          <w:rFonts w:eastAsia="Calibri"/>
          <w:kern w:val="24"/>
          <w:szCs w:val="23"/>
        </w:rPr>
        <w:t>”, ligjet që rregullojnë aktivitetin e saj, Rregulloren e Shkollës, programet mësimore, raportet vjetore, organet vendimmarrëse, pasqyrimi i aktiviteteve që organizohen në Shkollën e Magjistraturës, Programi i Trajnimit të Vazhduar së bashku me një kalendar vjetor me datat e seminareve, informacion në lidhje me konkursin që zhvillohet në Shkollën e Magjistraturës për prokurorë dhe gjyqtarë, mënyra e organizimit të konkursit, programin e konkursit, rezultatet përfundimtare si dhe emërimet e kandidateve për magjistratë që nga brezi i parë që ka mbaruar në këtë Shkollë, përmbledhje të temave të punuara nga studentët, të dhëna për botimet dhe për revistën “</w:t>
      </w:r>
      <w:r w:rsidRPr="001F38D0">
        <w:rPr>
          <w:rFonts w:eastAsia="Calibri"/>
          <w:i/>
          <w:kern w:val="24"/>
          <w:szCs w:val="23"/>
        </w:rPr>
        <w:t>Jeta Juridike</w:t>
      </w:r>
      <w:r w:rsidRPr="00EE2DE7">
        <w:rPr>
          <w:rFonts w:eastAsia="Calibri"/>
          <w:kern w:val="24"/>
          <w:szCs w:val="23"/>
        </w:rPr>
        <w:t xml:space="preserve">”, të dhëna për projektet e zhvilluara me partnerët ndërkombëtarë dhe arkiva në të cilën hidhen vendimet e Këshillit Drejtues. </w:t>
      </w:r>
    </w:p>
    <w:p w:rsidR="0001543C" w:rsidRPr="00CE2DD0" w:rsidRDefault="0001543C" w:rsidP="0001543C">
      <w:pPr>
        <w:spacing w:line="276" w:lineRule="auto"/>
        <w:ind w:firstLine="720"/>
        <w:jc w:val="both"/>
        <w:rPr>
          <w:rFonts w:eastAsia="Calibri"/>
          <w:kern w:val="24"/>
          <w:szCs w:val="23"/>
        </w:rPr>
      </w:pPr>
      <w:r w:rsidRPr="00CE2DD0">
        <w:rPr>
          <w:rFonts w:eastAsia="Calibri"/>
          <w:kern w:val="24"/>
          <w:szCs w:val="23"/>
        </w:rPr>
        <w:t xml:space="preserve">Këtë vit është shtuar rubrika </w:t>
      </w:r>
      <w:r w:rsidRPr="00CE2DD0">
        <w:rPr>
          <w:rFonts w:eastAsia="Calibri"/>
          <w:b/>
          <w:i/>
          <w:kern w:val="24"/>
          <w:szCs w:val="23"/>
        </w:rPr>
        <w:t>“Programi i Rivlerësimit (VETING)”</w:t>
      </w:r>
      <w:r w:rsidRPr="00CE2DD0">
        <w:rPr>
          <w:rFonts w:eastAsia="Calibri"/>
          <w:kern w:val="24"/>
          <w:szCs w:val="23"/>
        </w:rPr>
        <w:t xml:space="preserve">, në sajë të ligjit nr. 84 të vitit 2016 “Mbi rivlerësimin kalimtar të gjyqtarëve dhe prokurorëve në Republikën e Shqipërisë”, e cila jep informacion për programin dhe kriteret e testimit të aftësive profesionale. </w:t>
      </w:r>
    </w:p>
    <w:p w:rsidR="0001543C" w:rsidRPr="00EE2DE7" w:rsidRDefault="0001543C" w:rsidP="0001543C">
      <w:pPr>
        <w:spacing w:line="276" w:lineRule="auto"/>
        <w:ind w:firstLine="720"/>
        <w:jc w:val="both"/>
        <w:rPr>
          <w:rFonts w:eastAsia="Calibri"/>
          <w:kern w:val="24"/>
          <w:szCs w:val="23"/>
        </w:rPr>
      </w:pPr>
      <w:r w:rsidRPr="00EE2DE7">
        <w:rPr>
          <w:rFonts w:eastAsia="Calibri"/>
          <w:kern w:val="24"/>
          <w:szCs w:val="23"/>
        </w:rPr>
        <w:t>Rubrika “</w:t>
      </w:r>
      <w:r w:rsidRPr="00EE2DE7">
        <w:rPr>
          <w:rFonts w:eastAsia="Calibri"/>
          <w:b/>
          <w:i/>
          <w:kern w:val="24"/>
          <w:szCs w:val="23"/>
        </w:rPr>
        <w:t>Njoftime</w:t>
      </w:r>
      <w:r w:rsidRPr="00EE2DE7">
        <w:rPr>
          <w:rFonts w:eastAsia="Calibri"/>
          <w:kern w:val="24"/>
          <w:szCs w:val="23"/>
        </w:rPr>
        <w:t>” pasqyron njoftimet më të fundit ose informacionet që duhen vënë në dukje për shkak të detyrimeve që ka Shkolla në zbatim të parimit të transparencës dhe bashkëpunimeve me organet e tjera publike. Këto njoftime së bashku me aktivitet arkivohen te rubrika “</w:t>
      </w:r>
      <w:r w:rsidRPr="00EE2DE7">
        <w:rPr>
          <w:rFonts w:eastAsia="Calibri"/>
          <w:b/>
          <w:i/>
          <w:kern w:val="24"/>
          <w:szCs w:val="23"/>
        </w:rPr>
        <w:t>Arkiva</w:t>
      </w:r>
      <w:r w:rsidRPr="00EE2DE7">
        <w:rPr>
          <w:rFonts w:eastAsia="Calibri"/>
          <w:kern w:val="24"/>
          <w:szCs w:val="23"/>
        </w:rPr>
        <w:t>”.</w:t>
      </w:r>
    </w:p>
    <w:p w:rsidR="0001543C" w:rsidRPr="00EE2DE7" w:rsidRDefault="0001543C" w:rsidP="0001543C">
      <w:pPr>
        <w:spacing w:line="276" w:lineRule="auto"/>
        <w:ind w:firstLine="720"/>
        <w:jc w:val="both"/>
        <w:rPr>
          <w:rFonts w:eastAsia="Calibri"/>
          <w:kern w:val="24"/>
          <w:szCs w:val="23"/>
        </w:rPr>
      </w:pPr>
      <w:r w:rsidRPr="00EE2DE7">
        <w:rPr>
          <w:rFonts w:eastAsia="Calibri"/>
          <w:kern w:val="24"/>
          <w:szCs w:val="23"/>
        </w:rPr>
        <w:t>Shkolla i kushton shumë rëndësi pasqyrimit të aktiviteteve të saj në rubrikën “</w:t>
      </w:r>
      <w:r w:rsidRPr="00EE2DE7">
        <w:rPr>
          <w:rFonts w:eastAsia="Calibri"/>
          <w:b/>
          <w:i/>
          <w:kern w:val="24"/>
          <w:szCs w:val="23"/>
        </w:rPr>
        <w:t xml:space="preserve">Aktiviteti i </w:t>
      </w:r>
      <w:r>
        <w:rPr>
          <w:rFonts w:eastAsia="Calibri"/>
          <w:b/>
          <w:i/>
          <w:kern w:val="24"/>
          <w:szCs w:val="23"/>
        </w:rPr>
        <w:t>f</w:t>
      </w:r>
      <w:r w:rsidRPr="00EE2DE7">
        <w:rPr>
          <w:rFonts w:eastAsia="Calibri"/>
          <w:b/>
          <w:i/>
          <w:kern w:val="24"/>
          <w:szCs w:val="23"/>
        </w:rPr>
        <w:t>undit</w:t>
      </w:r>
      <w:r w:rsidRPr="00EE2DE7">
        <w:rPr>
          <w:rFonts w:eastAsia="Calibri"/>
          <w:kern w:val="24"/>
          <w:szCs w:val="23"/>
        </w:rPr>
        <w:t>”, në mënyrë që të bëhet publik dhe transparent çdo aktivitet i saj, vizita studimore ndërkombëtare pranë institucioneve, gjykatave dhe organeve të drejtësisë të vendeve të Bashkimit E</w:t>
      </w:r>
      <w:r>
        <w:rPr>
          <w:rFonts w:eastAsia="Calibri"/>
          <w:kern w:val="24"/>
          <w:szCs w:val="23"/>
        </w:rPr>
        <w:t>u</w:t>
      </w:r>
      <w:r w:rsidRPr="00EE2DE7">
        <w:rPr>
          <w:rFonts w:eastAsia="Calibri"/>
          <w:kern w:val="24"/>
          <w:szCs w:val="23"/>
        </w:rPr>
        <w:t>ropian, por njëkohësisht të rrisë interesin e publikut për Shkollën. Për realizimin e këtij funksioni është krijuar një rubrikë “</w:t>
      </w:r>
      <w:r w:rsidRPr="00EE2DE7">
        <w:rPr>
          <w:rFonts w:eastAsia="Calibri"/>
          <w:b/>
          <w:i/>
          <w:kern w:val="24"/>
          <w:szCs w:val="23"/>
        </w:rPr>
        <w:t>Foto Galeri</w:t>
      </w:r>
      <w:r w:rsidRPr="00EE2DE7">
        <w:rPr>
          <w:rFonts w:eastAsia="Calibri"/>
          <w:kern w:val="24"/>
          <w:szCs w:val="23"/>
        </w:rPr>
        <w:t>”, ku pasqyrohen vetëm fotografi të aktiviteteve më të fundit të Shkollës.</w:t>
      </w:r>
    </w:p>
    <w:p w:rsidR="0001543C" w:rsidRPr="00EE2DE7" w:rsidRDefault="0001543C" w:rsidP="0001543C">
      <w:pPr>
        <w:spacing w:line="276" w:lineRule="auto"/>
        <w:jc w:val="both"/>
        <w:rPr>
          <w:rFonts w:eastAsia="Calibri"/>
          <w:kern w:val="24"/>
          <w:szCs w:val="23"/>
        </w:rPr>
      </w:pPr>
    </w:p>
    <w:p w:rsidR="0001543C" w:rsidRDefault="0001543C" w:rsidP="0001543C">
      <w:pPr>
        <w:spacing w:line="276" w:lineRule="auto"/>
        <w:jc w:val="both"/>
        <w:rPr>
          <w:rFonts w:ascii="Tw Cen MT" w:eastAsia="Calibri" w:hAnsi="Tw Cen MT"/>
          <w:b/>
          <w:color w:val="1F4E79"/>
          <w:spacing w:val="20"/>
          <w:kern w:val="24"/>
          <w:szCs w:val="28"/>
        </w:rPr>
      </w:pPr>
      <w:r w:rsidRPr="0001543C">
        <w:rPr>
          <w:b/>
          <w:noProof/>
          <w:color w:val="CC9966" w:themeColor="accent2"/>
          <w:sz w:val="32"/>
          <w:lang w:eastAsia="en-US"/>
        </w:rPr>
        <w:t>5.2</w:t>
      </w:r>
      <w:r>
        <w:rPr>
          <w:b/>
          <w:noProof/>
          <w:color w:val="CC9966" w:themeColor="accent2"/>
          <w:sz w:val="32"/>
          <w:lang w:eastAsia="en-US"/>
        </w:rPr>
        <w:t xml:space="preserve">. </w:t>
      </w:r>
      <w:r w:rsidRPr="0001543C">
        <w:rPr>
          <w:b/>
          <w:noProof/>
          <w:color w:val="CC9966" w:themeColor="accent2"/>
          <w:sz w:val="32"/>
          <w:lang w:eastAsia="en-US"/>
        </w:rPr>
        <w:t xml:space="preserve"> Sistemet dhe pajisjet teknologjike</w:t>
      </w:r>
      <w:r>
        <w:rPr>
          <w:rFonts w:ascii="Tw Cen MT" w:eastAsia="Calibri" w:hAnsi="Tw Cen MT"/>
          <w:b/>
          <w:color w:val="1F4E79"/>
          <w:spacing w:val="20"/>
          <w:kern w:val="24"/>
          <w:sz w:val="28"/>
          <w:szCs w:val="28"/>
        </w:rPr>
        <w:tab/>
      </w:r>
    </w:p>
    <w:p w:rsidR="0001543C" w:rsidRPr="001F38D0" w:rsidRDefault="0001543C" w:rsidP="0001543C">
      <w:pPr>
        <w:spacing w:line="276" w:lineRule="auto"/>
        <w:contextualSpacing/>
        <w:outlineLvl w:val="1"/>
        <w:rPr>
          <w:rFonts w:ascii="Tw Cen MT" w:eastAsia="Calibri" w:hAnsi="Tw Cen MT"/>
          <w:b/>
          <w:color w:val="1F4E79"/>
          <w:spacing w:val="20"/>
          <w:kern w:val="24"/>
          <w:szCs w:val="28"/>
        </w:rPr>
      </w:pPr>
    </w:p>
    <w:p w:rsidR="0001543C" w:rsidRPr="00EE2DE7" w:rsidRDefault="0001543C" w:rsidP="0001543C">
      <w:pPr>
        <w:spacing w:line="276" w:lineRule="auto"/>
        <w:jc w:val="both"/>
        <w:rPr>
          <w:rFonts w:eastAsia="Calibri"/>
          <w:kern w:val="24"/>
        </w:rPr>
      </w:pPr>
      <w:r w:rsidRPr="00CE2DD0">
        <w:rPr>
          <w:rFonts w:eastAsia="Calibri"/>
          <w:kern w:val="24"/>
        </w:rPr>
        <w:t xml:space="preserve">Stafi i institucionit tonë përdor një teknologji të përparuar. </w:t>
      </w:r>
      <w:r w:rsidRPr="00CE2DD0">
        <w:rPr>
          <w:rFonts w:eastAsia="Calibri"/>
          <w:kern w:val="24"/>
          <w:szCs w:val="23"/>
        </w:rPr>
        <w:t xml:space="preserve">Është siguruar aksesi </w:t>
      </w:r>
      <w:r w:rsidRPr="00CE2DD0">
        <w:rPr>
          <w:rFonts w:eastAsia="Calibri"/>
          <w:i/>
          <w:kern w:val="24"/>
          <w:szCs w:val="23"/>
        </w:rPr>
        <w:t>wireless</w:t>
      </w:r>
      <w:r w:rsidRPr="00CE2DD0">
        <w:rPr>
          <w:rFonts w:eastAsia="Calibri"/>
          <w:kern w:val="24"/>
          <w:szCs w:val="23"/>
        </w:rPr>
        <w:t xml:space="preserve"> i internetit në të gjithë institucionin nëpërmjet router-ave mikrotikë, të cilët janë të menaxhueshëm si një i vetëm, me SSID: Shkolla e Magjistraturës.</w:t>
      </w:r>
      <w:r w:rsidRPr="00CE2DD0">
        <w:rPr>
          <w:rFonts w:eastAsia="Calibri"/>
          <w:kern w:val="24"/>
        </w:rPr>
        <w:t xml:space="preserve"> Kompjuterat janë të parametrave të lartë, me </w:t>
      </w:r>
      <w:r w:rsidRPr="00CE2DD0">
        <w:rPr>
          <w:rFonts w:eastAsia="Calibri"/>
          <w:i/>
          <w:kern w:val="24"/>
        </w:rPr>
        <w:t>brandname</w:t>
      </w:r>
      <w:r w:rsidRPr="00CE2DD0">
        <w:rPr>
          <w:rFonts w:eastAsia="Calibri"/>
          <w:kern w:val="24"/>
        </w:rPr>
        <w:t xml:space="preserve"> (origjinale). Çdo student i vitit të parë është i pajisur</w:t>
      </w:r>
      <w:r w:rsidRPr="00EE2DE7">
        <w:rPr>
          <w:rFonts w:eastAsia="Calibri"/>
          <w:kern w:val="24"/>
        </w:rPr>
        <w:t xml:space="preserve"> me laptop, që të ketë mundësi të aksesojë internetin me </w:t>
      </w:r>
      <w:r w:rsidRPr="001F38D0">
        <w:rPr>
          <w:rFonts w:eastAsia="Calibri"/>
          <w:i/>
          <w:kern w:val="24"/>
        </w:rPr>
        <w:t>wireless</w:t>
      </w:r>
      <w:r w:rsidRPr="00EE2DE7">
        <w:rPr>
          <w:rFonts w:eastAsia="Calibri"/>
          <w:kern w:val="24"/>
        </w:rPr>
        <w:t xml:space="preserve"> për të realizuar detyrat që i lindin gjatë procesit mësimor.</w:t>
      </w:r>
    </w:p>
    <w:p w:rsidR="0001543C" w:rsidRPr="001F38D0" w:rsidRDefault="0001543C" w:rsidP="0001543C">
      <w:pPr>
        <w:spacing w:line="276" w:lineRule="auto"/>
        <w:ind w:firstLine="720"/>
        <w:jc w:val="both"/>
        <w:rPr>
          <w:rFonts w:eastAsia="Calibri"/>
          <w:b/>
          <w:i/>
          <w:color w:val="2E74B5"/>
          <w:kern w:val="24"/>
          <w:szCs w:val="23"/>
        </w:rPr>
      </w:pPr>
      <w:r w:rsidRPr="00EE2DE7">
        <w:rPr>
          <w:rFonts w:eastAsia="Calibri"/>
          <w:kern w:val="24"/>
          <w:szCs w:val="23"/>
        </w:rPr>
        <w:t xml:space="preserve">Shpejtësia e internetit është 100 Mbps me një infrastrukturë të fibrës optike. Kjo ka përmirësuar shpejtësinë e marrjes dhe të hedhjes së të dhënave të kërkuara. Lidhja mbështetëse realizohet me radio link </w:t>
      </w:r>
      <w:r w:rsidRPr="00EE2DE7">
        <w:rPr>
          <w:rFonts w:eastAsia="Calibri"/>
          <w:kern w:val="24"/>
          <w:szCs w:val="23"/>
        </w:rPr>
        <w:lastRenderedPageBreak/>
        <w:t xml:space="preserve">(10 Mbps). Shkolla ka një </w:t>
      </w:r>
      <w:r w:rsidRPr="001F38D0">
        <w:rPr>
          <w:rFonts w:eastAsia="Calibri"/>
          <w:i/>
          <w:kern w:val="24"/>
          <w:szCs w:val="23"/>
        </w:rPr>
        <w:t>MailServer</w:t>
      </w:r>
      <w:r w:rsidRPr="00EE2DE7">
        <w:rPr>
          <w:rFonts w:eastAsia="Calibri"/>
          <w:kern w:val="24"/>
          <w:szCs w:val="23"/>
        </w:rPr>
        <w:t xml:space="preserve"> të administrueshëm lokalisht me 50 adresa email-i me 50 GB për secilin dhe me 5 grupe e-mail</w:t>
      </w:r>
      <w:r>
        <w:rPr>
          <w:rFonts w:eastAsia="Calibri"/>
          <w:kern w:val="24"/>
          <w:szCs w:val="23"/>
        </w:rPr>
        <w:t>-esh</w:t>
      </w:r>
      <w:r w:rsidRPr="00EE2DE7">
        <w:rPr>
          <w:rFonts w:eastAsia="Calibri"/>
          <w:kern w:val="24"/>
          <w:szCs w:val="23"/>
        </w:rPr>
        <w:t xml:space="preserve"> të aksesueshëm në linkun e mëposhtëm: </w:t>
      </w:r>
      <w:hyperlink r:id="rId45" w:history="1">
        <w:r w:rsidRPr="0001543C">
          <w:rPr>
            <w:rFonts w:eastAsia="Calibri"/>
            <w:i/>
            <w:kern w:val="24"/>
            <w:szCs w:val="23"/>
          </w:rPr>
          <w:t>https://webmail.magjistratura.edu.al</w:t>
        </w:r>
      </w:hyperlink>
      <w:r w:rsidRPr="0001543C">
        <w:rPr>
          <w:rFonts w:eastAsia="Calibri"/>
          <w:i/>
          <w:kern w:val="24"/>
          <w:szCs w:val="23"/>
        </w:rPr>
        <w:t>.</w:t>
      </w:r>
    </w:p>
    <w:p w:rsidR="0001543C" w:rsidRPr="00CE2DD0" w:rsidRDefault="0001543C" w:rsidP="0001543C">
      <w:pPr>
        <w:spacing w:line="276" w:lineRule="auto"/>
        <w:ind w:firstLine="720"/>
        <w:jc w:val="both"/>
        <w:rPr>
          <w:rFonts w:eastAsia="Calibri"/>
          <w:kern w:val="24"/>
        </w:rPr>
      </w:pPr>
      <w:r w:rsidRPr="00EE2DE7">
        <w:rPr>
          <w:rFonts w:eastAsia="Calibri"/>
          <w:kern w:val="24"/>
        </w:rPr>
        <w:t>Çdo vit kompjuterat formatohen me sisteme shfrytëzimi sipas teknologjisë, p.sh. Sistem Shfrytëzimi të Wind</w:t>
      </w:r>
      <w:r>
        <w:rPr>
          <w:rFonts w:eastAsia="Calibri"/>
          <w:kern w:val="24"/>
        </w:rPr>
        <w:t>ows 10 dhe Paketën Office të licenc</w:t>
      </w:r>
      <w:r w:rsidRPr="00EE2DE7">
        <w:rPr>
          <w:rFonts w:eastAsia="Calibri"/>
          <w:kern w:val="24"/>
        </w:rPr>
        <w:t xml:space="preserve">uar me çelësa të marra nga Microsoft </w:t>
      </w:r>
      <w:r w:rsidRPr="00CE2DD0">
        <w:rPr>
          <w:rFonts w:eastAsia="Calibri"/>
          <w:kern w:val="24"/>
        </w:rPr>
        <w:t>Corporation nëpërmjet AKSHI-t.</w:t>
      </w:r>
    </w:p>
    <w:p w:rsidR="0001543C" w:rsidRPr="00CE2DD0" w:rsidRDefault="0001543C" w:rsidP="0001543C">
      <w:pPr>
        <w:spacing w:line="276" w:lineRule="auto"/>
        <w:ind w:firstLine="720"/>
        <w:rPr>
          <w:rFonts w:eastAsia="Calibri"/>
          <w:kern w:val="24"/>
        </w:rPr>
      </w:pPr>
      <w:r w:rsidRPr="00CE2DD0">
        <w:rPr>
          <w:rFonts w:eastAsia="Calibri"/>
          <w:kern w:val="24"/>
        </w:rPr>
        <w:t>Për realizimin e provimit të pranimit të Shkollës së Magjistraturës (për fazën e parë) përdoret pajisja e scan tron-it e dhuruar nga Zyra e INL-s në Ambasadën Amerikane dhe OPDAT.</w:t>
      </w:r>
    </w:p>
    <w:p w:rsidR="0001543C" w:rsidRPr="00CE2DD0" w:rsidRDefault="0001543C" w:rsidP="0001543C">
      <w:pPr>
        <w:spacing w:line="276" w:lineRule="auto"/>
        <w:ind w:firstLine="720"/>
        <w:jc w:val="both"/>
        <w:rPr>
          <w:rFonts w:eastAsia="Calibri"/>
          <w:kern w:val="24"/>
        </w:rPr>
      </w:pPr>
      <w:r w:rsidRPr="00CE2DD0">
        <w:rPr>
          <w:rFonts w:eastAsia="Calibri"/>
          <w:kern w:val="24"/>
        </w:rPr>
        <w:t xml:space="preserve">Në sallën e konferencave sistemi i përkthimit dhe dëgjimit është me pajisje të reja bashkëkohore, për një kapacitet më të madh pjesëmarrësish në trajnime dhe për eficencë më të lartë. Ky sistem është konfiguruar dhe me sistemin e ri të trajnimit në distancë E-learning, në mënyrë që trajnimet që do të zhvillohen nëpërmjet platformës VidyoOne të kenë një akustikë normale në sallë. </w:t>
      </w:r>
    </w:p>
    <w:p w:rsidR="0001543C" w:rsidRPr="00CE2DD0" w:rsidRDefault="0001543C" w:rsidP="0001543C">
      <w:pPr>
        <w:spacing w:line="276" w:lineRule="auto"/>
        <w:ind w:firstLine="720"/>
        <w:rPr>
          <w:rFonts w:eastAsia="Calibri"/>
          <w:kern w:val="24"/>
        </w:rPr>
      </w:pPr>
      <w:r w:rsidRPr="00CE2DD0">
        <w:rPr>
          <w:rFonts w:eastAsia="Calibri"/>
          <w:kern w:val="24"/>
        </w:rPr>
        <w:t>Për arsye të kompletimit të stafit të ri dhe mbarëvajtjes së punës së përditshme, këtë vit nga buxheti i planifikuar për blerjen e pajisjeve teknologjike janë shtuar këto pajisje fizike:</w:t>
      </w:r>
    </w:p>
    <w:p w:rsidR="0001543C" w:rsidRPr="00CE2DD0" w:rsidRDefault="0001543C" w:rsidP="0001543C">
      <w:pPr>
        <w:numPr>
          <w:ilvl w:val="0"/>
          <w:numId w:val="40"/>
        </w:numPr>
        <w:spacing w:line="276" w:lineRule="auto"/>
        <w:contextualSpacing/>
        <w:jc w:val="both"/>
        <w:rPr>
          <w:rFonts w:eastAsia="Calibri"/>
          <w:kern w:val="24"/>
        </w:rPr>
      </w:pPr>
      <w:r w:rsidRPr="00CE2DD0">
        <w:rPr>
          <w:rFonts w:eastAsia="Calibri"/>
          <w:kern w:val="24"/>
        </w:rPr>
        <w:t xml:space="preserve">Laptop Acer Aspire 3 </w:t>
      </w:r>
      <w:bookmarkStart w:id="3" w:name="OLE_LINK14"/>
      <w:bookmarkStart w:id="4" w:name="OLE_LINK15"/>
      <w:r w:rsidRPr="00CE2DD0">
        <w:rPr>
          <w:rFonts w:eastAsia="Calibri"/>
          <w:kern w:val="24"/>
        </w:rPr>
        <w:t>me sistem shfrytëzimi Windows 10 Home 64-bit, me procesor Intel Core i5-</w:t>
      </w:r>
      <w:bookmarkEnd w:id="3"/>
      <w:bookmarkEnd w:id="4"/>
      <w:r w:rsidRPr="00CE2DD0">
        <w:rPr>
          <w:rFonts w:eastAsia="Calibri"/>
          <w:kern w:val="24"/>
        </w:rPr>
        <w:t>6200U 2.8 GHz dhe kartë grafike Intel HD Graphics 520, RAM: 8 GB, madhësia e hard diskut: 500 GB (1 copë).</w:t>
      </w:r>
    </w:p>
    <w:p w:rsidR="0001543C" w:rsidRPr="00CE2DD0" w:rsidRDefault="0001543C" w:rsidP="0001543C">
      <w:pPr>
        <w:numPr>
          <w:ilvl w:val="0"/>
          <w:numId w:val="40"/>
        </w:numPr>
        <w:spacing w:line="276" w:lineRule="auto"/>
        <w:contextualSpacing/>
        <w:jc w:val="both"/>
        <w:rPr>
          <w:rFonts w:eastAsia="Calibri"/>
          <w:kern w:val="24"/>
        </w:rPr>
      </w:pPr>
      <w:r w:rsidRPr="00CE2DD0">
        <w:rPr>
          <w:rFonts w:eastAsia="Calibri"/>
          <w:kern w:val="24"/>
        </w:rPr>
        <w:t>Kompjuter desktop Acer Veriton me sistem shfrytëzimi Windows 10 Home 64-bit, me procesor Intel Core i3-7100 CPU 3.91 GHz, RAM 4 GB dhe madhësia e hard diskut 500GB (5 copë).</w:t>
      </w:r>
    </w:p>
    <w:p w:rsidR="0001543C" w:rsidRPr="00CE2DD0" w:rsidRDefault="0001543C" w:rsidP="0001543C">
      <w:pPr>
        <w:numPr>
          <w:ilvl w:val="0"/>
          <w:numId w:val="40"/>
        </w:numPr>
        <w:spacing w:line="276" w:lineRule="auto"/>
        <w:contextualSpacing/>
        <w:rPr>
          <w:rFonts w:eastAsia="Calibri"/>
          <w:kern w:val="24"/>
        </w:rPr>
      </w:pPr>
      <w:r w:rsidRPr="00CE2DD0">
        <w:rPr>
          <w:rFonts w:eastAsia="Calibri"/>
          <w:kern w:val="24"/>
        </w:rPr>
        <w:t>Projektor Acer P5530,  DLP me rezolucion 1920x1080 dhe ndriçim 4000 ANSI Lumen (1 copë).</w:t>
      </w:r>
    </w:p>
    <w:p w:rsidR="0001543C" w:rsidRPr="00CE2DD0" w:rsidRDefault="0001543C" w:rsidP="0001543C">
      <w:pPr>
        <w:numPr>
          <w:ilvl w:val="0"/>
          <w:numId w:val="40"/>
        </w:numPr>
        <w:spacing w:line="276" w:lineRule="auto"/>
        <w:contextualSpacing/>
        <w:rPr>
          <w:rFonts w:eastAsia="Calibri"/>
          <w:kern w:val="24"/>
        </w:rPr>
      </w:pPr>
      <w:r w:rsidRPr="00CE2DD0">
        <w:rPr>
          <w:rFonts w:eastAsia="Calibri"/>
          <w:kern w:val="24"/>
        </w:rPr>
        <w:t>UPS Cyber Power 2000VA (1 copë) dhe SPSSL 1000VA (4 copë).</w:t>
      </w:r>
    </w:p>
    <w:p w:rsidR="0001543C" w:rsidRPr="00CE2DD0" w:rsidRDefault="0001543C" w:rsidP="0001543C">
      <w:pPr>
        <w:spacing w:line="276" w:lineRule="auto"/>
        <w:ind w:firstLine="720"/>
        <w:jc w:val="both"/>
        <w:rPr>
          <w:rFonts w:eastAsia="Calibri"/>
          <w:kern w:val="24"/>
        </w:rPr>
      </w:pPr>
      <w:r w:rsidRPr="00CE2DD0">
        <w:rPr>
          <w:rFonts w:eastAsia="Calibri"/>
          <w:kern w:val="24"/>
        </w:rPr>
        <w:t>Përveç këtyre janë kryer blerje dhe shërbime të vogla lindur nga nevoja dhe problemet e punës së përditshme, si për shembull; routera wireless mikrotik hap lite (4 copë), hard disk të jashtëm  2 TB (1 copë), tastierë, mouse, USB portabël 32GB (10 copë) riparime e pastrim printeri, riparim kompjuteri etj.</w:t>
      </w:r>
    </w:p>
    <w:p w:rsidR="0001543C" w:rsidRPr="00EE2DE7" w:rsidRDefault="0001543C" w:rsidP="0001543C">
      <w:pPr>
        <w:spacing w:line="276" w:lineRule="auto"/>
        <w:ind w:firstLine="720"/>
        <w:jc w:val="both"/>
        <w:rPr>
          <w:rFonts w:eastAsia="Calibri"/>
          <w:kern w:val="24"/>
        </w:rPr>
      </w:pPr>
      <w:r w:rsidRPr="00CE2DD0">
        <w:rPr>
          <w:rFonts w:eastAsia="Calibri"/>
          <w:kern w:val="24"/>
        </w:rPr>
        <w:t>Sa i takon sigurisë, mjediset e brendshme</w:t>
      </w:r>
      <w:r w:rsidRPr="00EE2DE7">
        <w:rPr>
          <w:rFonts w:eastAsia="Calibri"/>
          <w:kern w:val="24"/>
        </w:rPr>
        <w:t xml:space="preserve"> të Shkollës survejohen nga 7 kamera, regjistrimet e të cilave ruhen në 1(një) DVD recorder me hard-disk 4 TB. Është bërë e mundur hyrja e kontrolluar e stafit të brendshëm dhe e çdo individi për arsye sigurie, nëpërmjet një software-i të quajtur Matrix COSEC, i cili është në formën e një databaze që ruan dhe regjistron të gjitha hyrjet dhe daljet e një useri nëpërmjet kartave magnetike ose shenjës së gishtave. Gjithashtu, nëpërmjet tij mund të gjenerohen raporte të ndryshme në bazë të datës, llojit të usera-ve etj.</w:t>
      </w:r>
    </w:p>
    <w:p w:rsidR="0001543C" w:rsidRDefault="0001543C" w:rsidP="00386F89">
      <w:pPr>
        <w:tabs>
          <w:tab w:val="left" w:pos="10260"/>
        </w:tabs>
        <w:ind w:firstLine="360"/>
        <w:jc w:val="both"/>
      </w:pPr>
    </w:p>
    <w:p w:rsidR="0001543C" w:rsidRPr="0001543C" w:rsidRDefault="0001543C" w:rsidP="0001543C">
      <w:pPr>
        <w:spacing w:line="276" w:lineRule="auto"/>
        <w:jc w:val="both"/>
        <w:rPr>
          <w:b/>
          <w:noProof/>
          <w:color w:val="CC9966" w:themeColor="accent2"/>
          <w:sz w:val="32"/>
          <w:lang w:eastAsia="en-US"/>
        </w:rPr>
      </w:pPr>
      <w:r w:rsidRPr="0001543C">
        <w:rPr>
          <w:b/>
          <w:noProof/>
          <w:color w:val="CC9966" w:themeColor="accent2"/>
          <w:sz w:val="32"/>
          <w:lang w:eastAsia="en-US"/>
        </w:rPr>
        <w:t>5.3</w:t>
      </w:r>
      <w:r w:rsidR="009F23E3">
        <w:rPr>
          <w:b/>
          <w:noProof/>
          <w:color w:val="CC9966" w:themeColor="accent2"/>
          <w:sz w:val="32"/>
          <w:lang w:eastAsia="en-US"/>
        </w:rPr>
        <w:t>.</w:t>
      </w:r>
      <w:r w:rsidRPr="0001543C">
        <w:rPr>
          <w:b/>
          <w:noProof/>
          <w:color w:val="CC9966" w:themeColor="accent2"/>
          <w:sz w:val="32"/>
          <w:lang w:eastAsia="en-US"/>
        </w:rPr>
        <w:t xml:space="preserve"> Risia e teknologjisë: Platforma E-learning “Moodle”</w:t>
      </w:r>
    </w:p>
    <w:p w:rsidR="0001543C" w:rsidRDefault="0001543C" w:rsidP="0001543C">
      <w:pPr>
        <w:spacing w:line="276" w:lineRule="auto"/>
        <w:jc w:val="both"/>
        <w:rPr>
          <w:rFonts w:eastAsia="Calibri"/>
          <w:kern w:val="24"/>
          <w:szCs w:val="23"/>
        </w:rPr>
      </w:pPr>
    </w:p>
    <w:p w:rsidR="0001543C" w:rsidRPr="00EE2DE7" w:rsidRDefault="0001543C" w:rsidP="0001543C">
      <w:pPr>
        <w:spacing w:line="276" w:lineRule="auto"/>
        <w:jc w:val="both"/>
        <w:rPr>
          <w:rFonts w:eastAsia="Calibri"/>
          <w:kern w:val="24"/>
          <w:szCs w:val="23"/>
        </w:rPr>
      </w:pPr>
      <w:r w:rsidRPr="00EE2DE7">
        <w:rPr>
          <w:rFonts w:eastAsia="Calibri"/>
          <w:kern w:val="24"/>
          <w:szCs w:val="23"/>
        </w:rPr>
        <w:t xml:space="preserve">Shkolla e Magjistraturës ka në përdorim një sistem “open-source” të quajtur “moodle”, i cili përveç rolit që do të luajë si një databazë për ruajtjen e të dhënave për formimin profesional (Fillestar dhe të Vazhduar) do të krijojë mundësinë </w:t>
      </w:r>
      <w:r>
        <w:rPr>
          <w:rFonts w:eastAsia="Calibri"/>
          <w:kern w:val="24"/>
          <w:szCs w:val="23"/>
        </w:rPr>
        <w:t>e</w:t>
      </w:r>
      <w:r w:rsidRPr="00EE2DE7">
        <w:rPr>
          <w:rFonts w:eastAsia="Calibri"/>
          <w:kern w:val="24"/>
          <w:szCs w:val="23"/>
        </w:rPr>
        <w:t xml:space="preserve">dhe të një trajnimi në distancë e bashkëkohor të gjyqtarëve dhe prokurorëve apo jo vetëm, duke shkëmbyer eksperienca dhe informacione të ndërsjella në lidhje me legjislacionin kombëtar e ndërkombëtar, si dhe praktikat më të mira, me perspektivën e krijimit të një rrjeti të gjerë “online” përfshirë edhe Shkollat </w:t>
      </w:r>
      <w:r>
        <w:rPr>
          <w:rFonts w:eastAsia="Calibri"/>
          <w:kern w:val="24"/>
          <w:szCs w:val="23"/>
        </w:rPr>
        <w:t>simotra të Magjistraturës</w:t>
      </w:r>
      <w:r w:rsidRPr="00EE2DE7">
        <w:rPr>
          <w:rFonts w:eastAsia="Calibri"/>
          <w:kern w:val="24"/>
          <w:szCs w:val="23"/>
        </w:rPr>
        <w:t>.</w:t>
      </w:r>
    </w:p>
    <w:p w:rsidR="0001543C" w:rsidRPr="00EE2DE7" w:rsidRDefault="0001543C" w:rsidP="0001543C">
      <w:pPr>
        <w:spacing w:line="276" w:lineRule="auto"/>
        <w:ind w:firstLine="720"/>
        <w:jc w:val="both"/>
        <w:rPr>
          <w:rFonts w:eastAsia="Calibri"/>
          <w:kern w:val="24"/>
          <w:szCs w:val="23"/>
        </w:rPr>
      </w:pPr>
      <w:r w:rsidRPr="00EE2DE7">
        <w:rPr>
          <w:rFonts w:eastAsia="Calibri"/>
          <w:kern w:val="24"/>
          <w:szCs w:val="23"/>
        </w:rPr>
        <w:t>Metodologjia e sistemit “</w:t>
      </w:r>
      <w:r>
        <w:rPr>
          <w:rFonts w:eastAsia="Calibri"/>
          <w:kern w:val="24"/>
          <w:szCs w:val="23"/>
        </w:rPr>
        <w:t>E</w:t>
      </w:r>
      <w:r w:rsidRPr="00EE2DE7">
        <w:rPr>
          <w:rFonts w:eastAsia="Calibri"/>
          <w:kern w:val="24"/>
          <w:szCs w:val="23"/>
        </w:rPr>
        <w:t>-</w:t>
      </w:r>
      <w:r>
        <w:rPr>
          <w:rFonts w:eastAsia="Calibri"/>
          <w:kern w:val="24"/>
          <w:szCs w:val="23"/>
        </w:rPr>
        <w:t>l</w:t>
      </w:r>
      <w:r w:rsidRPr="00EE2DE7">
        <w:rPr>
          <w:rFonts w:eastAsia="Calibri"/>
          <w:kern w:val="24"/>
          <w:szCs w:val="23"/>
        </w:rPr>
        <w:t xml:space="preserve">earning” ka për qëllim të mësuarit nëpërmjet teknologjive elektronike, duke dalë jashtë kornizave të sistemit tradicional të të mësuarit, siç është zbatuar përgjatë viteve, ku </w:t>
      </w:r>
      <w:r w:rsidRPr="00EE2DE7">
        <w:rPr>
          <w:rFonts w:eastAsia="Calibri"/>
          <w:kern w:val="24"/>
          <w:szCs w:val="23"/>
        </w:rPr>
        <w:lastRenderedPageBreak/>
        <w:t xml:space="preserve">trajneri apo eksperti përcjell dijet e tij te një grup i kufizuar përfituesish brenda një salle apo klase. Ky sistem inovativ eliminon distancat midis atij që kërkon të marrë edukim dhe atij që e ofron edukimin. Përfitimi i dijeve “online” është një lehtësi, pasi redukton kostot dhe kursen kohë, duke u ardhur në ndihmë si Shkollës së Magjistraturës dhe grupeve të interesuara me fokus rritjen e produktivitetit. Ajo ofron edukim (video konferencë, trajnime, workshop-e apo forma të tjera interaktive edukimi të ndërtuara sipas </w:t>
      </w:r>
      <w:r>
        <w:rPr>
          <w:rFonts w:eastAsia="Calibri"/>
          <w:kern w:val="24"/>
          <w:szCs w:val="23"/>
        </w:rPr>
        <w:t>ku</w:t>
      </w:r>
      <w:r w:rsidRPr="00EE2DE7">
        <w:rPr>
          <w:rFonts w:eastAsia="Calibri"/>
          <w:kern w:val="24"/>
          <w:szCs w:val="23"/>
        </w:rPr>
        <w:t xml:space="preserve">rikulës bazë) në kohë reale, përfitim dijesh, si dhe ofron lexim të materialeve të kursit përkatës. Ndërveprimi mund të kryhet në kohë reale apo mund të përfitohet nëpërmjet një leksioni të regjistruar paraprakisht. Rritja e cilësisë për ofrimin e trajnimeve mbetet një objektiv dhe një politikë që Shkolla e Magjistraturës nuk do të reshtë së ndjekuri, duke u përkushtuar që të arrijë më të mirën e mundshme dhe duke u përpjekur që ta përmirësojë në përmbushje të funksioneve dhe standardeve të saj. </w:t>
      </w:r>
    </w:p>
    <w:p w:rsidR="0001543C" w:rsidRPr="00EE2DE7" w:rsidRDefault="0001543C" w:rsidP="0001543C">
      <w:pPr>
        <w:spacing w:line="276" w:lineRule="auto"/>
        <w:ind w:firstLine="720"/>
        <w:jc w:val="both"/>
        <w:rPr>
          <w:rFonts w:eastAsia="Calibri"/>
          <w:kern w:val="24"/>
          <w:szCs w:val="23"/>
        </w:rPr>
      </w:pPr>
      <w:r w:rsidRPr="00EE2DE7">
        <w:rPr>
          <w:rFonts w:eastAsia="Calibri"/>
          <w:kern w:val="24"/>
          <w:szCs w:val="23"/>
        </w:rPr>
        <w:t>Krijimi i këtij portali vjen si një ndihmë dhe kontribut tjetër i Shkollës së Magjistraturës për gjyqtarë e prokurorë, profesionistë ligjorë, ekspertë, lehtësues dhe moderatorë.</w:t>
      </w:r>
    </w:p>
    <w:p w:rsidR="0001543C" w:rsidRPr="00EE2DE7" w:rsidRDefault="0001543C" w:rsidP="0001543C">
      <w:pPr>
        <w:spacing w:line="276" w:lineRule="auto"/>
        <w:ind w:firstLine="720"/>
        <w:jc w:val="both"/>
        <w:rPr>
          <w:rFonts w:eastAsia="Calibri"/>
          <w:kern w:val="24"/>
          <w:szCs w:val="23"/>
        </w:rPr>
      </w:pPr>
      <w:r w:rsidRPr="00EE2DE7">
        <w:rPr>
          <w:rFonts w:eastAsia="Calibri"/>
          <w:kern w:val="24"/>
          <w:szCs w:val="23"/>
        </w:rPr>
        <w:t>Puna për regjistrimin e të dhënave në këtë proces po realizohet nga stafi i brendshëm i Shkollës, pjesë e sektorëve përkatës të Formimit Fillestar e Vazhdues, si dhe nga secili user përdorimi që do të ketë role të veçanta. Faza e parë për regjistrimin e user-ave dhe për hedhjen e kalendarit me tematikat përkatëse ka përfunduar. Deri më tani në sistem rezultojnë 1016 user-a të regjistruar.</w:t>
      </w:r>
    </w:p>
    <w:p w:rsidR="0001543C" w:rsidRDefault="0001543C" w:rsidP="0001543C">
      <w:pPr>
        <w:spacing w:line="276" w:lineRule="auto"/>
        <w:ind w:firstLine="720"/>
        <w:rPr>
          <w:rFonts w:eastAsia="Calibri"/>
          <w:color w:val="2E74B5"/>
          <w:kern w:val="24"/>
        </w:rPr>
      </w:pPr>
      <w:r w:rsidRPr="00EE2DE7">
        <w:rPr>
          <w:rFonts w:eastAsia="Calibri"/>
          <w:kern w:val="24"/>
        </w:rPr>
        <w:t xml:space="preserve">Platforma gjendet duke klikuar në linkun </w:t>
      </w:r>
      <w:hyperlink r:id="rId46" w:history="1">
        <w:r w:rsidRPr="00001903">
          <w:rPr>
            <w:rFonts w:eastAsia="Calibri"/>
            <w:b/>
            <w:i/>
            <w:color w:val="2E74B5"/>
            <w:kern w:val="24"/>
          </w:rPr>
          <w:t>http://moodle.magjistratura.edu.al</w:t>
        </w:r>
      </w:hyperlink>
      <w:r w:rsidRPr="00001903">
        <w:rPr>
          <w:rFonts w:eastAsia="Calibri"/>
          <w:i/>
          <w:color w:val="2E74B5"/>
          <w:kern w:val="24"/>
        </w:rPr>
        <w:t>.</w:t>
      </w:r>
      <w:r w:rsidRPr="00EE2DE7">
        <w:rPr>
          <w:rFonts w:eastAsia="Calibri"/>
          <w:color w:val="2E74B5"/>
          <w:kern w:val="24"/>
        </w:rPr>
        <w:t xml:space="preserve"> </w:t>
      </w:r>
    </w:p>
    <w:p w:rsidR="0001543C" w:rsidRPr="00EE2DE7" w:rsidRDefault="0001543C" w:rsidP="0001543C">
      <w:pPr>
        <w:spacing w:line="276" w:lineRule="auto"/>
        <w:ind w:firstLine="720"/>
        <w:rPr>
          <w:rFonts w:eastAsia="Calibri"/>
          <w:kern w:val="24"/>
        </w:rPr>
      </w:pPr>
    </w:p>
    <w:p w:rsidR="009C609F" w:rsidRDefault="0001543C" w:rsidP="009C609F">
      <w:pPr>
        <w:spacing w:after="200" w:line="276" w:lineRule="auto"/>
        <w:jc w:val="center"/>
        <w:rPr>
          <w:rFonts w:eastAsia="Calibri"/>
          <w:i/>
          <w:kern w:val="24"/>
          <w:sz w:val="20"/>
        </w:rPr>
      </w:pPr>
      <w:r w:rsidRPr="00EE2DE7">
        <w:rPr>
          <w:rFonts w:eastAsia="Calibri"/>
          <w:noProof/>
          <w:kern w:val="24"/>
          <w:lang w:eastAsia="en-US"/>
        </w:rPr>
        <w:drawing>
          <wp:inline distT="0" distB="0" distL="0" distR="0">
            <wp:extent cx="5962650" cy="3590013"/>
            <wp:effectExtent l="0" t="0" r="0" b="0"/>
            <wp:docPr id="38" name="Picture 38" descr="C:\Users\User\Desktop\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ig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88392" cy="3605512"/>
                    </a:xfrm>
                    <a:prstGeom prst="rect">
                      <a:avLst/>
                    </a:prstGeom>
                    <a:noFill/>
                    <a:ln>
                      <a:noFill/>
                    </a:ln>
                  </pic:spPr>
                </pic:pic>
              </a:graphicData>
            </a:graphic>
          </wp:inline>
        </w:drawing>
      </w:r>
    </w:p>
    <w:p w:rsidR="00C75652" w:rsidRDefault="009C609F" w:rsidP="00C75652">
      <w:pPr>
        <w:spacing w:after="200" w:line="276" w:lineRule="auto"/>
        <w:jc w:val="center"/>
        <w:rPr>
          <w:rFonts w:eastAsia="Calibri"/>
          <w:kern w:val="24"/>
        </w:rPr>
      </w:pPr>
      <w:r w:rsidRPr="009C609F">
        <w:rPr>
          <w:rFonts w:eastAsia="Calibri"/>
          <w:i/>
          <w:kern w:val="24"/>
          <w:sz w:val="20"/>
        </w:rPr>
        <w:t>Figura nr.1 Faq</w:t>
      </w:r>
      <w:r>
        <w:rPr>
          <w:rFonts w:eastAsia="Calibri"/>
          <w:i/>
          <w:kern w:val="24"/>
          <w:sz w:val="20"/>
        </w:rPr>
        <w:t>j</w:t>
      </w:r>
      <w:r w:rsidRPr="009C609F">
        <w:rPr>
          <w:rFonts w:eastAsia="Calibri"/>
          <w:i/>
          <w:kern w:val="24"/>
          <w:sz w:val="20"/>
        </w:rPr>
        <w:t>a kryesore e platform</w:t>
      </w:r>
      <w:r>
        <w:rPr>
          <w:rFonts w:eastAsia="Calibri"/>
          <w:i/>
          <w:kern w:val="24"/>
          <w:sz w:val="20"/>
        </w:rPr>
        <w:t>e</w:t>
      </w:r>
      <w:r w:rsidRPr="009C609F">
        <w:rPr>
          <w:rFonts w:eastAsia="Calibri"/>
          <w:i/>
          <w:kern w:val="24"/>
          <w:sz w:val="20"/>
        </w:rPr>
        <w:t>s Moodle</w:t>
      </w:r>
    </w:p>
    <w:p w:rsidR="0001543C" w:rsidRPr="00EE2DE7" w:rsidRDefault="0001543C" w:rsidP="00C75652">
      <w:pPr>
        <w:spacing w:after="200" w:line="276" w:lineRule="auto"/>
        <w:jc w:val="both"/>
        <w:rPr>
          <w:rFonts w:eastAsia="Calibri"/>
          <w:kern w:val="24"/>
        </w:rPr>
      </w:pPr>
      <w:r>
        <w:rPr>
          <w:rFonts w:eastAsia="Calibri"/>
          <w:kern w:val="24"/>
        </w:rPr>
        <w:t>N</w:t>
      </w:r>
      <w:r w:rsidRPr="00EE2DE7">
        <w:rPr>
          <w:rFonts w:eastAsia="Calibri"/>
          <w:kern w:val="24"/>
        </w:rPr>
        <w:t>ë platformë</w:t>
      </w:r>
      <w:r>
        <w:rPr>
          <w:rFonts w:eastAsia="Calibri"/>
          <w:kern w:val="24"/>
        </w:rPr>
        <w:t>,</w:t>
      </w:r>
      <w:r w:rsidRPr="00EE2DE7">
        <w:rPr>
          <w:rFonts w:eastAsia="Calibri"/>
          <w:kern w:val="24"/>
        </w:rPr>
        <w:t xml:space="preserve"> </w:t>
      </w:r>
      <w:r>
        <w:rPr>
          <w:rFonts w:eastAsia="Calibri"/>
          <w:kern w:val="24"/>
        </w:rPr>
        <w:t>s</w:t>
      </w:r>
      <w:r w:rsidRPr="00EE2DE7">
        <w:rPr>
          <w:rFonts w:eastAsia="Calibri"/>
          <w:kern w:val="24"/>
        </w:rPr>
        <w:t>iç shihet dhe në figurën më sipër</w:t>
      </w:r>
      <w:r>
        <w:rPr>
          <w:rFonts w:eastAsia="Calibri"/>
          <w:kern w:val="24"/>
        </w:rPr>
        <w:t>,</w:t>
      </w:r>
      <w:r w:rsidRPr="00EE2DE7">
        <w:rPr>
          <w:rFonts w:eastAsia="Calibri"/>
          <w:kern w:val="24"/>
        </w:rPr>
        <w:t xml:space="preserve"> janë hedhur dhe video të regjistrimeve të trajnimeve që janë bërë mbi ndryshimet e KPP</w:t>
      </w:r>
      <w:r>
        <w:rPr>
          <w:rFonts w:eastAsia="Calibri"/>
          <w:kern w:val="24"/>
        </w:rPr>
        <w:t>-së</w:t>
      </w:r>
      <w:r w:rsidRPr="00EE2DE7">
        <w:rPr>
          <w:rFonts w:eastAsia="Calibri"/>
          <w:kern w:val="24"/>
        </w:rPr>
        <w:t xml:space="preserve"> të realizuara nga OPDAT</w:t>
      </w:r>
      <w:r>
        <w:rPr>
          <w:rFonts w:eastAsia="Calibri"/>
          <w:kern w:val="24"/>
        </w:rPr>
        <w:t>-i</w:t>
      </w:r>
      <w:r w:rsidRPr="00EE2DE7">
        <w:rPr>
          <w:rFonts w:eastAsia="Calibri"/>
          <w:kern w:val="24"/>
        </w:rPr>
        <w:t xml:space="preserve">, të cilat </w:t>
      </w:r>
      <w:r>
        <w:rPr>
          <w:rFonts w:eastAsia="Calibri"/>
          <w:kern w:val="24"/>
        </w:rPr>
        <w:t xml:space="preserve">mund t’i dëgjojnë të gjithë përdoruesit </w:t>
      </w:r>
      <w:r w:rsidRPr="00EE2DE7">
        <w:rPr>
          <w:rFonts w:eastAsia="Calibri"/>
          <w:kern w:val="24"/>
        </w:rPr>
        <w:t>që kanë një llogari.</w:t>
      </w:r>
    </w:p>
    <w:p w:rsidR="0001543C" w:rsidRDefault="0001543C" w:rsidP="0001543C">
      <w:pPr>
        <w:spacing w:line="276" w:lineRule="auto"/>
        <w:ind w:firstLine="720"/>
        <w:jc w:val="both"/>
        <w:rPr>
          <w:rFonts w:eastAsia="Calibri"/>
          <w:kern w:val="24"/>
        </w:rPr>
      </w:pPr>
      <w:r w:rsidRPr="00EE2DE7">
        <w:rPr>
          <w:rFonts w:eastAsia="Calibri"/>
          <w:kern w:val="24"/>
        </w:rPr>
        <w:lastRenderedPageBreak/>
        <w:t>Në platformë është hedhur një numër i konsiderueshëm trajnimesh që janë zhvilluar nga Shkolla e Magjistraturës për vitin akademik 2017-2018 për kategori të ndryshme si në figurën më poshtë:</w:t>
      </w:r>
    </w:p>
    <w:p w:rsidR="009C609F" w:rsidRPr="00EE2DE7" w:rsidRDefault="009C609F" w:rsidP="0001543C">
      <w:pPr>
        <w:spacing w:line="276" w:lineRule="auto"/>
        <w:ind w:firstLine="720"/>
        <w:jc w:val="both"/>
        <w:rPr>
          <w:rFonts w:eastAsia="Calibri"/>
          <w:kern w:val="24"/>
        </w:rPr>
      </w:pPr>
    </w:p>
    <w:p w:rsidR="0001543C" w:rsidRDefault="0001543C" w:rsidP="0001543C">
      <w:pPr>
        <w:spacing w:after="200" w:line="276" w:lineRule="auto"/>
        <w:jc w:val="both"/>
        <w:rPr>
          <w:rFonts w:eastAsia="Calibri"/>
          <w:kern w:val="24"/>
        </w:rPr>
      </w:pPr>
      <w:r>
        <w:rPr>
          <w:rFonts w:eastAsia="Calibri"/>
          <w:kern w:val="24"/>
        </w:rPr>
        <w:t xml:space="preserve">      </w:t>
      </w:r>
      <w:r w:rsidRPr="00EE2DE7">
        <w:rPr>
          <w:rFonts w:eastAsia="Calibri"/>
          <w:noProof/>
          <w:kern w:val="24"/>
          <w:lang w:eastAsia="en-US"/>
        </w:rPr>
        <w:drawing>
          <wp:inline distT="0" distB="0" distL="0" distR="0">
            <wp:extent cx="5943600" cy="3106597"/>
            <wp:effectExtent l="0" t="0" r="0" b="0"/>
            <wp:docPr id="39" name="Picture 39" descr="C:\Users\User\Desktop\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fig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06597"/>
                    </a:xfrm>
                    <a:prstGeom prst="rect">
                      <a:avLst/>
                    </a:prstGeom>
                    <a:noFill/>
                    <a:ln>
                      <a:noFill/>
                    </a:ln>
                  </pic:spPr>
                </pic:pic>
              </a:graphicData>
            </a:graphic>
          </wp:inline>
        </w:drawing>
      </w:r>
    </w:p>
    <w:p w:rsidR="004F1EB9" w:rsidRPr="00C75652" w:rsidRDefault="00C75652" w:rsidP="0001543C">
      <w:pPr>
        <w:spacing w:after="200" w:line="276" w:lineRule="auto"/>
        <w:jc w:val="both"/>
        <w:rPr>
          <w:rFonts w:eastAsia="Calibri"/>
          <w:i/>
          <w:kern w:val="24"/>
          <w:sz w:val="20"/>
        </w:rPr>
      </w:pPr>
      <w:r>
        <w:rPr>
          <w:rFonts w:eastAsia="Calibri"/>
          <w:i/>
          <w:kern w:val="24"/>
          <w:sz w:val="20"/>
        </w:rPr>
        <w:t xml:space="preserve">                                           </w:t>
      </w:r>
      <w:r w:rsidR="004F1EB9" w:rsidRPr="00C75652">
        <w:rPr>
          <w:rFonts w:eastAsia="Calibri"/>
          <w:i/>
          <w:kern w:val="24"/>
          <w:sz w:val="20"/>
        </w:rPr>
        <w:t xml:space="preserve">Figura nr.2 </w:t>
      </w:r>
      <w:r w:rsidRPr="00C75652">
        <w:rPr>
          <w:rFonts w:eastAsia="Calibri"/>
          <w:i/>
          <w:kern w:val="24"/>
          <w:sz w:val="20"/>
        </w:rPr>
        <w:t xml:space="preserve">Numri total i </w:t>
      </w:r>
      <w:r>
        <w:rPr>
          <w:rFonts w:eastAsia="Calibri"/>
          <w:i/>
          <w:kern w:val="24"/>
          <w:sz w:val="20"/>
        </w:rPr>
        <w:t>trajnimeve sipas kategoriv</w:t>
      </w:r>
      <w:r w:rsidRPr="00C75652">
        <w:rPr>
          <w:rFonts w:eastAsia="Calibri"/>
          <w:i/>
          <w:kern w:val="24"/>
          <w:sz w:val="20"/>
        </w:rPr>
        <w:t>e i hedhur ne platforme</w:t>
      </w:r>
    </w:p>
    <w:p w:rsidR="0001543C" w:rsidRDefault="0001543C" w:rsidP="00C75652">
      <w:pPr>
        <w:spacing w:line="276" w:lineRule="auto"/>
        <w:jc w:val="both"/>
        <w:rPr>
          <w:rFonts w:eastAsia="Calibri"/>
          <w:kern w:val="24"/>
        </w:rPr>
      </w:pPr>
      <w:r w:rsidRPr="00EE2DE7">
        <w:rPr>
          <w:rFonts w:eastAsia="Calibri"/>
          <w:kern w:val="24"/>
        </w:rPr>
        <w:t xml:space="preserve">Gjithashtu për lehtësim të punës së sekretarëve të Formimit Vazhdues, tashmë nëpërmjet platformës </w:t>
      </w:r>
      <w:r w:rsidRPr="00001903">
        <w:rPr>
          <w:rFonts w:eastAsia="Calibri"/>
          <w:i/>
          <w:kern w:val="24"/>
        </w:rPr>
        <w:t>Moodle</w:t>
      </w:r>
      <w:r w:rsidRPr="00EE2DE7">
        <w:rPr>
          <w:rFonts w:eastAsia="Calibri"/>
          <w:kern w:val="24"/>
        </w:rPr>
        <w:t xml:space="preserve"> gjyqtarët dhe prokurorët mund të konfirmojnë pjesëmarrjen e tyre vetëm me një klikim në temën e trajnimit që ata kanë përzgjedhur, pa q</w:t>
      </w:r>
      <w:r>
        <w:rPr>
          <w:rFonts w:eastAsia="Calibri"/>
          <w:kern w:val="24"/>
        </w:rPr>
        <w:t>e</w:t>
      </w:r>
      <w:r w:rsidRPr="00EE2DE7">
        <w:rPr>
          <w:rFonts w:eastAsia="Calibri"/>
          <w:kern w:val="24"/>
        </w:rPr>
        <w:t>në nevoja për komunikim nëpërmjet postës elektronike me ta. Në këtë mënyrë automatikisht nga sistemi krijohet dhe lista me pjesëmarrësit e konfirmuar që do të jenë të pranishëm në trajnim. Kjo listë është lehtësisht e gjenerueshme dhe e përpunueshme për raporte dhe informacione të ndryshme që i nevojiten Sektorit të Formimit Vazhdues.</w:t>
      </w:r>
    </w:p>
    <w:p w:rsidR="0001543C" w:rsidRPr="00EE2DE7" w:rsidRDefault="0001543C" w:rsidP="0001543C">
      <w:pPr>
        <w:spacing w:line="276" w:lineRule="auto"/>
        <w:ind w:firstLine="720"/>
        <w:jc w:val="both"/>
        <w:rPr>
          <w:rFonts w:eastAsia="Calibri"/>
          <w:kern w:val="24"/>
        </w:rPr>
      </w:pPr>
    </w:p>
    <w:p w:rsidR="00C75652" w:rsidRDefault="00C75652" w:rsidP="0001543C">
      <w:pPr>
        <w:spacing w:after="200" w:line="276" w:lineRule="auto"/>
        <w:jc w:val="both"/>
        <w:rPr>
          <w:rFonts w:eastAsia="Calibri"/>
          <w:kern w:val="24"/>
        </w:rPr>
      </w:pPr>
    </w:p>
    <w:p w:rsidR="00C75652" w:rsidRDefault="00C75652" w:rsidP="0001543C">
      <w:pPr>
        <w:spacing w:after="200" w:line="276" w:lineRule="auto"/>
        <w:jc w:val="both"/>
        <w:rPr>
          <w:rFonts w:eastAsia="Calibri"/>
          <w:kern w:val="24"/>
        </w:rPr>
      </w:pPr>
    </w:p>
    <w:p w:rsidR="0001543C" w:rsidRDefault="0001543C" w:rsidP="0001543C">
      <w:pPr>
        <w:spacing w:after="200" w:line="276" w:lineRule="auto"/>
        <w:jc w:val="both"/>
        <w:rPr>
          <w:rFonts w:eastAsia="Calibri"/>
          <w:kern w:val="24"/>
        </w:rPr>
      </w:pPr>
      <w:r>
        <w:rPr>
          <w:rFonts w:eastAsia="Calibri"/>
          <w:kern w:val="24"/>
        </w:rPr>
        <w:lastRenderedPageBreak/>
        <w:t xml:space="preserve">   </w:t>
      </w:r>
      <w:r w:rsidRPr="00EE2DE7">
        <w:rPr>
          <w:rFonts w:eastAsia="Calibri"/>
          <w:noProof/>
          <w:kern w:val="24"/>
          <w:lang w:eastAsia="en-US"/>
        </w:rPr>
        <w:drawing>
          <wp:inline distT="0" distB="0" distL="0" distR="0">
            <wp:extent cx="6169094" cy="3253032"/>
            <wp:effectExtent l="19050" t="0" r="3106" b="0"/>
            <wp:docPr id="40" name="Picture 40" descr="C:\Users\User\Desktop\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fig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03116" cy="3270972"/>
                    </a:xfrm>
                    <a:prstGeom prst="rect">
                      <a:avLst/>
                    </a:prstGeom>
                    <a:noFill/>
                    <a:ln>
                      <a:noFill/>
                    </a:ln>
                  </pic:spPr>
                </pic:pic>
              </a:graphicData>
            </a:graphic>
          </wp:inline>
        </w:drawing>
      </w:r>
      <w:r w:rsidRPr="00EE2DE7" w:rsidDel="0094581C">
        <w:rPr>
          <w:rFonts w:eastAsia="Calibri"/>
          <w:kern w:val="24"/>
        </w:rPr>
        <w:t xml:space="preserve"> </w:t>
      </w:r>
    </w:p>
    <w:p w:rsidR="00C75652" w:rsidRPr="00C75652" w:rsidRDefault="00C75652" w:rsidP="0001543C">
      <w:pPr>
        <w:spacing w:after="200" w:line="276" w:lineRule="auto"/>
        <w:jc w:val="both"/>
        <w:rPr>
          <w:rFonts w:eastAsia="Calibri"/>
          <w:i/>
          <w:kern w:val="24"/>
        </w:rPr>
      </w:pPr>
      <w:r>
        <w:rPr>
          <w:rFonts w:eastAsia="Calibri"/>
          <w:i/>
          <w:kern w:val="24"/>
          <w:sz w:val="20"/>
        </w:rPr>
        <w:t xml:space="preserve">                                        </w:t>
      </w:r>
      <w:r w:rsidRPr="00C75652">
        <w:rPr>
          <w:rFonts w:eastAsia="Calibri"/>
          <w:i/>
          <w:kern w:val="24"/>
          <w:sz w:val="20"/>
        </w:rPr>
        <w:t>Figura nr.3 Lista e pjesemarresve qe kane bere konfirmin per nje trajnim te caktuar</w:t>
      </w:r>
    </w:p>
    <w:p w:rsidR="0001543C" w:rsidRDefault="0001543C" w:rsidP="0001543C">
      <w:pPr>
        <w:spacing w:line="276" w:lineRule="auto"/>
        <w:jc w:val="both"/>
        <w:rPr>
          <w:rFonts w:eastAsia="Calibri"/>
          <w:kern w:val="24"/>
        </w:rPr>
      </w:pPr>
      <w:r w:rsidRPr="00EE2DE7">
        <w:rPr>
          <w:rFonts w:eastAsia="Calibri"/>
          <w:kern w:val="24"/>
        </w:rPr>
        <w:t>Përveç kësaj li</w:t>
      </w:r>
      <w:r>
        <w:rPr>
          <w:rFonts w:eastAsia="Calibri"/>
          <w:kern w:val="24"/>
        </w:rPr>
        <w:t>ste gjithashtu mund të plotësohet</w:t>
      </w:r>
      <w:r w:rsidRPr="00EE2DE7">
        <w:rPr>
          <w:rFonts w:eastAsia="Calibri"/>
          <w:kern w:val="24"/>
        </w:rPr>
        <w:t xml:space="preserve"> nëpërmjet sistemit edhe list</w:t>
      </w:r>
      <w:r>
        <w:rPr>
          <w:rFonts w:eastAsia="Calibri"/>
          <w:kern w:val="24"/>
        </w:rPr>
        <w:t>ëprezenca</w:t>
      </w:r>
      <w:r w:rsidRPr="00EE2DE7">
        <w:rPr>
          <w:rFonts w:eastAsia="Calibri"/>
          <w:kern w:val="24"/>
        </w:rPr>
        <w:t xml:space="preserve"> e pjesëmarrësve në sallë për çdo sesion dhe ditë si në figurë</w:t>
      </w:r>
      <w:r>
        <w:rPr>
          <w:rFonts w:eastAsia="Calibri"/>
          <w:kern w:val="24"/>
        </w:rPr>
        <w:t>n</w:t>
      </w:r>
      <w:r w:rsidRPr="00EE2DE7">
        <w:rPr>
          <w:rFonts w:eastAsia="Calibri"/>
          <w:kern w:val="24"/>
        </w:rPr>
        <w:t xml:space="preserve"> më poshtë:</w:t>
      </w:r>
    </w:p>
    <w:p w:rsidR="0001543C" w:rsidRPr="00EE2DE7" w:rsidRDefault="0001543C" w:rsidP="0001543C">
      <w:pPr>
        <w:spacing w:line="276" w:lineRule="auto"/>
        <w:jc w:val="both"/>
        <w:rPr>
          <w:rFonts w:eastAsia="Calibri"/>
          <w:kern w:val="24"/>
        </w:rPr>
      </w:pPr>
    </w:p>
    <w:p w:rsidR="0001543C" w:rsidRPr="00EE2DE7" w:rsidRDefault="009C609F" w:rsidP="0001543C">
      <w:pPr>
        <w:spacing w:after="200" w:line="276" w:lineRule="auto"/>
        <w:jc w:val="both"/>
        <w:rPr>
          <w:rFonts w:eastAsia="Calibri"/>
          <w:kern w:val="24"/>
        </w:rPr>
      </w:pPr>
      <w:r>
        <w:rPr>
          <w:rFonts w:eastAsia="Calibri"/>
          <w:kern w:val="24"/>
        </w:rPr>
        <w:t xml:space="preserve">    </w:t>
      </w:r>
      <w:r w:rsidR="0001543C" w:rsidRPr="00EE2DE7">
        <w:rPr>
          <w:rFonts w:eastAsia="Calibri"/>
          <w:noProof/>
          <w:kern w:val="24"/>
          <w:lang w:eastAsia="en-US"/>
        </w:rPr>
        <w:drawing>
          <wp:inline distT="0" distB="0" distL="0" distR="0">
            <wp:extent cx="5943600" cy="3143490"/>
            <wp:effectExtent l="0" t="0" r="0" b="0"/>
            <wp:docPr id="41" name="Picture 41" descr="C:\Users\User\Desktop\fi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fig5.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143490"/>
                    </a:xfrm>
                    <a:prstGeom prst="rect">
                      <a:avLst/>
                    </a:prstGeom>
                    <a:noFill/>
                    <a:ln>
                      <a:noFill/>
                    </a:ln>
                  </pic:spPr>
                </pic:pic>
              </a:graphicData>
            </a:graphic>
          </wp:inline>
        </w:drawing>
      </w:r>
    </w:p>
    <w:p w:rsidR="0001543C" w:rsidRPr="00C75652" w:rsidRDefault="00C75652" w:rsidP="0001543C">
      <w:pPr>
        <w:spacing w:after="200" w:line="276" w:lineRule="auto"/>
        <w:jc w:val="both"/>
        <w:rPr>
          <w:rFonts w:eastAsia="Calibri"/>
          <w:i/>
          <w:kern w:val="24"/>
          <w:sz w:val="20"/>
        </w:rPr>
      </w:pPr>
      <w:r>
        <w:rPr>
          <w:rFonts w:eastAsia="Calibri"/>
          <w:kern w:val="24"/>
        </w:rPr>
        <w:t xml:space="preserve">                      </w:t>
      </w:r>
      <w:r w:rsidRPr="00C75652">
        <w:rPr>
          <w:rFonts w:eastAsia="Calibri"/>
          <w:i/>
          <w:kern w:val="24"/>
          <w:sz w:val="20"/>
        </w:rPr>
        <w:t>Figura nr.4 Lis</w:t>
      </w:r>
      <w:r>
        <w:rPr>
          <w:rFonts w:eastAsia="Calibri"/>
          <w:i/>
          <w:kern w:val="24"/>
          <w:sz w:val="20"/>
        </w:rPr>
        <w:t>t</w:t>
      </w:r>
      <w:r w:rsidRPr="00C75652">
        <w:rPr>
          <w:rFonts w:eastAsia="Calibri"/>
          <w:i/>
          <w:kern w:val="24"/>
          <w:sz w:val="20"/>
        </w:rPr>
        <w:t xml:space="preserve">prezenca </w:t>
      </w:r>
      <w:r>
        <w:rPr>
          <w:rFonts w:eastAsia="Calibri"/>
          <w:i/>
          <w:kern w:val="24"/>
          <w:sz w:val="20"/>
        </w:rPr>
        <w:t xml:space="preserve">e pjesemarresve </w:t>
      </w:r>
      <w:r w:rsidRPr="00C75652">
        <w:rPr>
          <w:rFonts w:eastAsia="Calibri"/>
          <w:i/>
          <w:kern w:val="24"/>
          <w:sz w:val="20"/>
        </w:rPr>
        <w:t>e krijuar per 4 sesione per nje trajnim dy ditor</w:t>
      </w:r>
    </w:p>
    <w:p w:rsidR="0001543C" w:rsidRDefault="009C609F" w:rsidP="0001543C">
      <w:pPr>
        <w:spacing w:after="200" w:line="276" w:lineRule="auto"/>
        <w:jc w:val="both"/>
        <w:rPr>
          <w:rFonts w:eastAsia="Calibri"/>
          <w:kern w:val="24"/>
        </w:rPr>
      </w:pPr>
      <w:r>
        <w:rPr>
          <w:rFonts w:eastAsia="Calibri"/>
          <w:kern w:val="24"/>
        </w:rPr>
        <w:lastRenderedPageBreak/>
        <w:t xml:space="preserve">     </w:t>
      </w:r>
      <w:r w:rsidR="0001543C" w:rsidRPr="00EE2DE7">
        <w:rPr>
          <w:rFonts w:eastAsia="Calibri"/>
          <w:noProof/>
          <w:kern w:val="24"/>
          <w:lang w:eastAsia="en-US"/>
        </w:rPr>
        <w:drawing>
          <wp:inline distT="0" distB="0" distL="0" distR="0">
            <wp:extent cx="5943600" cy="3083243"/>
            <wp:effectExtent l="0" t="0" r="0" b="3175"/>
            <wp:docPr id="42" name="Picture 42" descr="C:\Users\User\Desktop\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fig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083243"/>
                    </a:xfrm>
                    <a:prstGeom prst="rect">
                      <a:avLst/>
                    </a:prstGeom>
                    <a:noFill/>
                    <a:ln>
                      <a:noFill/>
                    </a:ln>
                  </pic:spPr>
                </pic:pic>
              </a:graphicData>
            </a:graphic>
          </wp:inline>
        </w:drawing>
      </w:r>
    </w:p>
    <w:p w:rsidR="0001543C" w:rsidRPr="00C5291B" w:rsidRDefault="00C5291B" w:rsidP="0001543C">
      <w:pPr>
        <w:spacing w:after="200" w:line="276" w:lineRule="auto"/>
        <w:jc w:val="both"/>
        <w:rPr>
          <w:rFonts w:eastAsia="Calibri"/>
          <w:i/>
          <w:kern w:val="24"/>
          <w:sz w:val="20"/>
        </w:rPr>
      </w:pPr>
      <w:r>
        <w:rPr>
          <w:rFonts w:eastAsia="Calibri"/>
          <w:i/>
          <w:kern w:val="24"/>
          <w:sz w:val="20"/>
        </w:rPr>
        <w:t xml:space="preserve">                                     </w:t>
      </w:r>
      <w:r w:rsidRPr="00C5291B">
        <w:rPr>
          <w:rFonts w:eastAsia="Calibri"/>
          <w:i/>
          <w:kern w:val="24"/>
          <w:sz w:val="20"/>
        </w:rPr>
        <w:t>Figura nr.5 Menyra e plotesimit te listprezences per nje trajnim te caktuar</w:t>
      </w:r>
    </w:p>
    <w:p w:rsidR="0001543C" w:rsidRPr="00EE2DE7" w:rsidRDefault="0001543C" w:rsidP="00C5291B">
      <w:pPr>
        <w:spacing w:after="200" w:line="276" w:lineRule="auto"/>
        <w:rPr>
          <w:rFonts w:eastAsia="Calibri"/>
          <w:kern w:val="24"/>
        </w:rPr>
      </w:pPr>
      <w:r w:rsidRPr="00EE2DE7">
        <w:rPr>
          <w:rFonts w:eastAsia="Calibri"/>
          <w:kern w:val="24"/>
        </w:rPr>
        <w:t>Puna në këtë platformë së shpejti do të fillojë edhe për Sektorin e Formimit Fillestar dhe më gjerë.</w:t>
      </w:r>
    </w:p>
    <w:p w:rsidR="0001543C" w:rsidRDefault="0001543C"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C5291B" w:rsidRDefault="00CF3AE0" w:rsidP="00C5291B">
      <w:pPr>
        <w:tabs>
          <w:tab w:val="left" w:pos="5976"/>
        </w:tabs>
        <w:ind w:firstLine="360"/>
        <w:jc w:val="both"/>
      </w:pPr>
      <w:r>
        <w:rPr>
          <w:noProof/>
          <w:lang w:eastAsia="en-US"/>
        </w:rPr>
        <w:lastRenderedPageBreak/>
        <w:pict>
          <v:rect id="_x0000_s1088" style="position:absolute;left:0;text-align:left;margin-left:-13.7pt;margin-top:7pt;width:601.9pt;height:43.2pt;z-index:251756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" fillcolor="#4f81bd" stroked="f" strokeweight="2pt">
            <v:textbox>
              <w:txbxContent>
                <w:p w:rsidR="005372E3" w:rsidRPr="00C5291B" w:rsidRDefault="005372E3" w:rsidP="00C5291B">
                  <w:pPr>
                    <w:rPr>
                      <w:sz w:val="56"/>
                      <w:szCs w:val="56"/>
                    </w:rPr>
                  </w:pPr>
                  <w:r w:rsidRPr="00C5291B">
                    <w:rPr>
                      <w:b/>
                      <w:color w:val="FFFFFF" w:themeColor="background1"/>
                      <w:sz w:val="56"/>
                      <w:szCs w:val="56"/>
                    </w:rPr>
                    <w:t>6.</w:t>
                  </w:r>
                  <w:r w:rsidRPr="00C5291B">
                    <w:rPr>
                      <w:b/>
                      <w:color w:val="FFFFFF" w:themeColor="background1"/>
                      <w:sz w:val="56"/>
                      <w:szCs w:val="56"/>
                    </w:rPr>
                    <w:tab/>
                    <w:t>Perspektiva dhe vizioni për të ardhmen</w:t>
                  </w:r>
                </w:p>
              </w:txbxContent>
            </v:textbox>
          </v:rect>
        </w:pict>
      </w:r>
      <w:r w:rsidR="00C5291B">
        <w:tab/>
      </w:r>
    </w:p>
    <w:p w:rsidR="00C5291B" w:rsidRDefault="00C5291B" w:rsidP="00386F89">
      <w:pPr>
        <w:tabs>
          <w:tab w:val="left" w:pos="10260"/>
        </w:tabs>
        <w:ind w:firstLine="360"/>
        <w:jc w:val="both"/>
      </w:pPr>
    </w:p>
    <w:p w:rsidR="00C5291B" w:rsidRDefault="00C5291B" w:rsidP="00386F89">
      <w:pPr>
        <w:tabs>
          <w:tab w:val="left" w:pos="10260"/>
        </w:tabs>
        <w:ind w:firstLine="360"/>
        <w:jc w:val="both"/>
      </w:pPr>
    </w:p>
    <w:p w:rsidR="00386F89" w:rsidRDefault="00386F89" w:rsidP="00386F89">
      <w:pPr>
        <w:spacing w:line="276" w:lineRule="auto"/>
        <w:jc w:val="both"/>
      </w:pPr>
    </w:p>
    <w:p w:rsidR="007D1F0E" w:rsidRDefault="007D1F0E" w:rsidP="009F23E3">
      <w:pPr>
        <w:spacing w:line="276" w:lineRule="auto"/>
        <w:jc w:val="both"/>
        <w:rPr>
          <w:b/>
          <w:noProof/>
          <w:color w:val="CC9966" w:themeColor="accent2"/>
          <w:sz w:val="32"/>
          <w:lang w:eastAsia="en-US"/>
        </w:rPr>
      </w:pPr>
    </w:p>
    <w:p w:rsidR="007C25A6" w:rsidRDefault="007C25A6" w:rsidP="009F23E3">
      <w:pPr>
        <w:spacing w:line="276" w:lineRule="auto"/>
        <w:jc w:val="both"/>
        <w:rPr>
          <w:b/>
          <w:noProof/>
          <w:color w:val="CC9966" w:themeColor="accent2"/>
          <w:sz w:val="32"/>
          <w:lang w:eastAsia="en-US"/>
        </w:rPr>
        <w:sectPr w:rsidR="007C25A6" w:rsidSect="00A87BD2">
          <w:type w:val="continuous"/>
          <w:pgSz w:w="12240" w:h="15840" w:code="1"/>
          <w:pgMar w:top="990" w:right="990" w:bottom="1620" w:left="990" w:header="360" w:footer="371" w:gutter="0"/>
          <w:cols w:space="708"/>
          <w:docGrid w:linePitch="360"/>
        </w:sectPr>
      </w:pPr>
    </w:p>
    <w:p w:rsidR="009F23E3" w:rsidRPr="009F23E3" w:rsidRDefault="009F23E3" w:rsidP="009F23E3">
      <w:pPr>
        <w:spacing w:line="276" w:lineRule="auto"/>
        <w:jc w:val="both"/>
        <w:rPr>
          <w:b/>
          <w:noProof/>
          <w:color w:val="CC9966" w:themeColor="accent2"/>
          <w:sz w:val="32"/>
          <w:lang w:eastAsia="en-US"/>
        </w:rPr>
      </w:pPr>
      <w:r w:rsidRPr="009F23E3">
        <w:rPr>
          <w:b/>
          <w:noProof/>
          <w:color w:val="CC9966" w:themeColor="accent2"/>
          <w:sz w:val="32"/>
          <w:lang w:eastAsia="en-US"/>
        </w:rPr>
        <w:t>6.1</w:t>
      </w:r>
      <w:r>
        <w:rPr>
          <w:b/>
          <w:noProof/>
          <w:color w:val="CC9966" w:themeColor="accent2"/>
          <w:sz w:val="32"/>
          <w:lang w:eastAsia="en-US"/>
        </w:rPr>
        <w:t>.</w:t>
      </w:r>
      <w:r w:rsidRPr="009F23E3">
        <w:rPr>
          <w:b/>
          <w:noProof/>
          <w:color w:val="CC9966" w:themeColor="accent2"/>
          <w:sz w:val="32"/>
          <w:lang w:eastAsia="en-US"/>
        </w:rPr>
        <w:t xml:space="preserve"> Trajnimi Fillestar</w:t>
      </w:r>
    </w:p>
    <w:p w:rsidR="009F23E3" w:rsidRPr="00EE2DE7" w:rsidRDefault="009F23E3" w:rsidP="009F23E3">
      <w:pPr>
        <w:widowControl w:val="0"/>
        <w:spacing w:line="276" w:lineRule="auto"/>
        <w:ind w:firstLine="720"/>
        <w:jc w:val="both"/>
        <w:rPr>
          <w:rFonts w:eastAsia="Times New Roman"/>
          <w:kern w:val="24"/>
          <w:lang w:eastAsia="de-DE"/>
        </w:rPr>
      </w:pPr>
      <w:r w:rsidRPr="00EE2DE7">
        <w:rPr>
          <w:rFonts w:eastAsia="Times New Roman"/>
          <w:kern w:val="24"/>
          <w:lang w:eastAsia="de-DE"/>
        </w:rPr>
        <w:t xml:space="preserve">Me miratimin e paketës së plotë ligjore të Reformës në Drejtësi, e cila solli ndryshime në Kushtetutën e Republikës së Shqipërisë dhe hartimin e një sërë ligjesh të reja për funksionimin dhe organizimin e veprimtarisë së organeve kryesore të drejtësisë në vend, roli dhe funksioni i Shkollës së Magjistraturës kaloi në një tjetër dimension. Ajo është ngritur në nivelin e një institucioni të parashikuar nga Kushtetuta për përmbushjen e një sërë detyrash të rëndësishme, </w:t>
      </w:r>
      <w:r w:rsidRPr="00EE2DE7">
        <w:rPr>
          <w:rFonts w:eastAsia="Calibri"/>
          <w:kern w:val="24"/>
        </w:rPr>
        <w:t>duke zgjeruar përgjegjësitë e saj në konsolidimin e sistemit të rekrutimit për gjyqtarët dhe prokurorët e rinj, si edhe në rekrutimin e kategorive të tjera të parashikuara në ligje.</w:t>
      </w:r>
      <w:r w:rsidRPr="00EE2DE7">
        <w:rPr>
          <w:rFonts w:eastAsia="Times New Roman"/>
          <w:kern w:val="24"/>
          <w:lang w:eastAsia="de-DE"/>
        </w:rPr>
        <w:t xml:space="preserve"> Veprimtaria dhe funksionimi i Shkollës së Magjistraturës është rregulluar nëpërmjet disa ligjeve të miratuara me shumicë të cilësuar, si: </w:t>
      </w:r>
    </w:p>
    <w:p w:rsidR="009F23E3" w:rsidRPr="00EE2DE7" w:rsidRDefault="009F23E3" w:rsidP="009F23E3">
      <w:pPr>
        <w:widowControl w:val="0"/>
        <w:spacing w:line="276" w:lineRule="auto"/>
        <w:ind w:left="360"/>
        <w:jc w:val="both"/>
        <w:rPr>
          <w:rFonts w:eastAsia="Times New Roman"/>
          <w:kern w:val="24"/>
          <w:lang w:eastAsia="de-DE"/>
        </w:rPr>
      </w:pPr>
      <w:r w:rsidRPr="00EE2DE7">
        <w:rPr>
          <w:rFonts w:eastAsia="Times New Roman"/>
          <w:kern w:val="24"/>
          <w:lang w:eastAsia="de-DE"/>
        </w:rPr>
        <w:t>- ligji nr. 115/2016</w:t>
      </w:r>
      <w:r>
        <w:rPr>
          <w:rFonts w:eastAsia="Times New Roman"/>
          <w:kern w:val="24"/>
          <w:lang w:eastAsia="de-DE"/>
        </w:rPr>
        <w:t>,</w:t>
      </w:r>
      <w:r w:rsidRPr="00EE2DE7">
        <w:rPr>
          <w:rFonts w:eastAsia="Times New Roman"/>
          <w:kern w:val="24"/>
          <w:lang w:eastAsia="de-DE"/>
        </w:rPr>
        <w:t xml:space="preserve"> “</w:t>
      </w:r>
      <w:r w:rsidRPr="00EE2DE7">
        <w:rPr>
          <w:rFonts w:eastAsia="Times New Roman"/>
          <w:i/>
          <w:kern w:val="24"/>
          <w:lang w:eastAsia="de-DE"/>
        </w:rPr>
        <w:t>Për organet e qeverisjes së sistemit të drejtësisë</w:t>
      </w:r>
      <w:r w:rsidRPr="00EE2DE7">
        <w:rPr>
          <w:rFonts w:eastAsia="Times New Roman"/>
          <w:kern w:val="24"/>
          <w:lang w:eastAsia="de-DE"/>
        </w:rPr>
        <w:t>”;</w:t>
      </w:r>
    </w:p>
    <w:p w:rsidR="009F23E3" w:rsidRPr="00EE2DE7" w:rsidRDefault="009F23E3" w:rsidP="009F23E3">
      <w:pPr>
        <w:widowControl w:val="0"/>
        <w:spacing w:line="276" w:lineRule="auto"/>
        <w:ind w:left="360"/>
        <w:jc w:val="both"/>
        <w:rPr>
          <w:rFonts w:eastAsia="Times New Roman"/>
          <w:kern w:val="24"/>
          <w:lang w:eastAsia="de-DE"/>
        </w:rPr>
      </w:pPr>
      <w:r w:rsidRPr="00EE2DE7">
        <w:rPr>
          <w:rFonts w:eastAsia="Times New Roman"/>
          <w:kern w:val="24"/>
          <w:lang w:eastAsia="de-DE"/>
        </w:rPr>
        <w:t>- ligji nr. 96/2016</w:t>
      </w:r>
      <w:r>
        <w:rPr>
          <w:rFonts w:eastAsia="Times New Roman"/>
          <w:kern w:val="24"/>
          <w:lang w:eastAsia="de-DE"/>
        </w:rPr>
        <w:t>,</w:t>
      </w:r>
      <w:r w:rsidRPr="00EE2DE7">
        <w:rPr>
          <w:rFonts w:eastAsia="Times New Roman"/>
          <w:kern w:val="24"/>
          <w:lang w:eastAsia="de-DE"/>
        </w:rPr>
        <w:t xml:space="preserve"> “</w:t>
      </w:r>
      <w:r w:rsidRPr="00EE2DE7">
        <w:rPr>
          <w:rFonts w:eastAsia="Times New Roman"/>
          <w:i/>
          <w:kern w:val="24"/>
          <w:lang w:eastAsia="de-DE"/>
        </w:rPr>
        <w:t>Për statusin e gjyqtarëve dhe prokurorëve në Republikën e Shqipërisë</w:t>
      </w:r>
      <w:r w:rsidRPr="00EE2DE7">
        <w:rPr>
          <w:rFonts w:eastAsia="Times New Roman"/>
          <w:kern w:val="24"/>
          <w:lang w:eastAsia="de-DE"/>
        </w:rPr>
        <w:t>”;</w:t>
      </w:r>
    </w:p>
    <w:p w:rsidR="009F23E3" w:rsidRPr="00EE2DE7" w:rsidRDefault="009F23E3" w:rsidP="009F23E3">
      <w:pPr>
        <w:widowControl w:val="0"/>
        <w:spacing w:line="276" w:lineRule="auto"/>
        <w:ind w:left="360"/>
        <w:jc w:val="both"/>
        <w:rPr>
          <w:rFonts w:eastAsia="Times New Roman"/>
          <w:kern w:val="24"/>
          <w:lang w:eastAsia="de-DE"/>
        </w:rPr>
      </w:pPr>
      <w:r w:rsidRPr="00EE2DE7">
        <w:rPr>
          <w:rFonts w:eastAsia="Times New Roman"/>
          <w:kern w:val="24"/>
          <w:lang w:eastAsia="de-DE"/>
        </w:rPr>
        <w:t>- ligji nr. 98/2016</w:t>
      </w:r>
      <w:r>
        <w:rPr>
          <w:rFonts w:eastAsia="Times New Roman"/>
          <w:kern w:val="24"/>
          <w:lang w:eastAsia="de-DE"/>
        </w:rPr>
        <w:t>,</w:t>
      </w:r>
      <w:r w:rsidRPr="00EE2DE7">
        <w:rPr>
          <w:rFonts w:eastAsia="Times New Roman"/>
          <w:kern w:val="24"/>
          <w:lang w:eastAsia="de-DE"/>
        </w:rPr>
        <w:t xml:space="preserve"> “</w:t>
      </w:r>
      <w:r w:rsidRPr="00EE2DE7">
        <w:rPr>
          <w:rFonts w:eastAsia="Times New Roman"/>
          <w:i/>
          <w:kern w:val="24"/>
          <w:lang w:eastAsia="de-DE"/>
        </w:rPr>
        <w:t>Për organizimin e Pushtetit Gjyqësor në Republikën e Shqipërisë</w:t>
      </w:r>
      <w:r w:rsidRPr="00EE2DE7">
        <w:rPr>
          <w:rFonts w:eastAsia="Times New Roman"/>
          <w:kern w:val="24"/>
          <w:lang w:eastAsia="de-DE"/>
        </w:rPr>
        <w:t xml:space="preserve">”; </w:t>
      </w:r>
    </w:p>
    <w:p w:rsidR="009F23E3" w:rsidRDefault="009F23E3" w:rsidP="009F23E3">
      <w:pPr>
        <w:widowControl w:val="0"/>
        <w:spacing w:line="276" w:lineRule="auto"/>
        <w:ind w:left="360"/>
        <w:jc w:val="both"/>
        <w:rPr>
          <w:rFonts w:eastAsia="Times New Roman"/>
          <w:kern w:val="24"/>
          <w:lang w:eastAsia="de-DE"/>
        </w:rPr>
      </w:pPr>
      <w:r w:rsidRPr="00EE2DE7">
        <w:rPr>
          <w:rFonts w:eastAsia="Times New Roman"/>
          <w:kern w:val="24"/>
          <w:lang w:eastAsia="de-DE"/>
        </w:rPr>
        <w:t>- ligji nr. 97/2016</w:t>
      </w:r>
      <w:r>
        <w:rPr>
          <w:rFonts w:eastAsia="Times New Roman"/>
          <w:kern w:val="24"/>
          <w:lang w:eastAsia="de-DE"/>
        </w:rPr>
        <w:t>,</w:t>
      </w:r>
      <w:r w:rsidRPr="00EE2DE7">
        <w:rPr>
          <w:rFonts w:eastAsia="Times New Roman"/>
          <w:kern w:val="24"/>
          <w:lang w:eastAsia="de-DE"/>
        </w:rPr>
        <w:t xml:space="preserve"> “</w:t>
      </w:r>
      <w:r w:rsidRPr="00EE2DE7">
        <w:rPr>
          <w:rFonts w:eastAsia="Times New Roman"/>
          <w:i/>
          <w:kern w:val="24"/>
          <w:lang w:eastAsia="de-DE"/>
        </w:rPr>
        <w:t>Për organizimin dhe funksionimin e prokurorisë në Republikën e Shqipërisë</w:t>
      </w:r>
      <w:r w:rsidRPr="00EE2DE7">
        <w:rPr>
          <w:rFonts w:eastAsia="Times New Roman"/>
          <w:kern w:val="24"/>
          <w:lang w:eastAsia="de-DE"/>
        </w:rPr>
        <w:t xml:space="preserve">”; </w:t>
      </w:r>
    </w:p>
    <w:p w:rsidR="009F23E3" w:rsidRPr="00EE2DE7" w:rsidRDefault="009F23E3" w:rsidP="009F23E3">
      <w:pPr>
        <w:widowControl w:val="0"/>
        <w:spacing w:line="276" w:lineRule="auto"/>
        <w:ind w:left="360"/>
        <w:jc w:val="both"/>
        <w:rPr>
          <w:rFonts w:eastAsia="Times New Roman"/>
          <w:kern w:val="24"/>
          <w:lang w:eastAsia="de-DE"/>
        </w:rPr>
      </w:pPr>
      <w:r w:rsidRPr="00EE2DE7">
        <w:rPr>
          <w:rFonts w:eastAsia="Times New Roman"/>
          <w:kern w:val="24"/>
          <w:lang w:eastAsia="de-DE"/>
        </w:rPr>
        <w:t>- ligji nr.</w:t>
      </w:r>
      <w:r>
        <w:rPr>
          <w:rFonts w:eastAsia="Times New Roman"/>
          <w:kern w:val="24"/>
          <w:lang w:eastAsia="de-DE"/>
        </w:rPr>
        <w:t xml:space="preserve"> </w:t>
      </w:r>
      <w:r w:rsidRPr="00EE2DE7">
        <w:rPr>
          <w:rFonts w:eastAsia="Times New Roman"/>
          <w:kern w:val="24"/>
          <w:lang w:eastAsia="de-DE"/>
        </w:rPr>
        <w:t>84/2016, “</w:t>
      </w:r>
      <w:r w:rsidRPr="00EE2DE7">
        <w:rPr>
          <w:rFonts w:eastAsia="Times New Roman"/>
          <w:i/>
          <w:kern w:val="24"/>
          <w:lang w:eastAsia="de-DE"/>
        </w:rPr>
        <w:t>Për rivlerësimin kalimtar të gjyqtarëve dhe prokurorëve në Republikën e Shqipërisë</w:t>
      </w:r>
      <w:r w:rsidRPr="00EE2DE7">
        <w:rPr>
          <w:rFonts w:eastAsia="Times New Roman"/>
          <w:kern w:val="24"/>
          <w:lang w:eastAsia="de-DE"/>
        </w:rPr>
        <w:t xml:space="preserve">”. </w:t>
      </w:r>
    </w:p>
    <w:p w:rsidR="009F23E3" w:rsidRPr="00EE2DE7" w:rsidRDefault="009F23E3" w:rsidP="009F23E3">
      <w:pPr>
        <w:widowControl w:val="0"/>
        <w:spacing w:line="276" w:lineRule="auto"/>
        <w:ind w:firstLine="720"/>
        <w:jc w:val="both"/>
        <w:rPr>
          <w:rFonts w:eastAsia="Times New Roman"/>
          <w:kern w:val="24"/>
          <w:lang w:eastAsia="de-DE"/>
        </w:rPr>
      </w:pPr>
      <w:r w:rsidRPr="00EE2DE7">
        <w:rPr>
          <w:rFonts w:eastAsia="Times New Roman"/>
          <w:kern w:val="24"/>
          <w:lang w:eastAsia="de-DE"/>
        </w:rPr>
        <w:t xml:space="preserve">Në përputhje me drejtimet dhe objektivat e reformës në drejtësi, Shkolla e Magjistraturës ka si detyrë funksionale jo vetëm sigurimin e Formimit Fillestar dhe Vazhdues të magjistratëve (gjyqtarë dhe prokurorë), por ajo do të ofrojë </w:t>
      </w:r>
      <w:r w:rsidRPr="00EE2DE7">
        <w:rPr>
          <w:rFonts w:eastAsia="Times New Roman"/>
          <w:kern w:val="24"/>
          <w:lang w:eastAsia="de-DE"/>
        </w:rPr>
        <w:t xml:space="preserve">formim fillestar dhe të vazhdueshëm të profilizuar për kategori të ndryshme juristësh, ku përfshihen avokatët e shtetit, ndihmësit ligjorë si dhe kancelarët në gjykata dhe prokurori. </w:t>
      </w:r>
    </w:p>
    <w:p w:rsidR="009F23E3" w:rsidRPr="00EE2DE7" w:rsidRDefault="009F23E3" w:rsidP="009F23E3">
      <w:pPr>
        <w:spacing w:line="276" w:lineRule="auto"/>
        <w:ind w:firstLine="720"/>
        <w:jc w:val="both"/>
        <w:rPr>
          <w:rFonts w:eastAsia="Times New Roman"/>
          <w:kern w:val="24"/>
          <w:lang w:eastAsia="de-DE"/>
        </w:rPr>
      </w:pPr>
      <w:r w:rsidRPr="00EE2DE7">
        <w:rPr>
          <w:rFonts w:eastAsia="Times New Roman"/>
          <w:kern w:val="24"/>
          <w:lang w:eastAsia="de-DE"/>
        </w:rPr>
        <w:t xml:space="preserve">Roli i Shkollës së Magjistraturës për përmbushjen e të gjitha detyrimeve që vijnë për shkak të efekteve ligjore që krijojnë ligjet e reja që rregullojnë aktivitetin e Shkollës, është mjaft thelbësor. Bashkëpunimi me Këshillin e Lartë Gjyqësor dhe Këshillin e Lartë të Prokurorisë do të jetë një element i domosdoshëm për rregullimin e shumë drejtimeve për të cilat ligji kërkon organizim dhe vendimmarrje të përbashkët nga ana e institucioneve. </w:t>
      </w:r>
    </w:p>
    <w:p w:rsidR="009F23E3" w:rsidRPr="007D1F0E" w:rsidRDefault="009F23E3" w:rsidP="009F23E3">
      <w:pPr>
        <w:spacing w:line="276" w:lineRule="auto"/>
        <w:jc w:val="both"/>
        <w:rPr>
          <w:b/>
          <w:noProof/>
          <w:color w:val="CC9966" w:themeColor="accent2"/>
          <w:lang w:eastAsia="en-US"/>
        </w:rPr>
      </w:pPr>
    </w:p>
    <w:p w:rsidR="007D1F0E" w:rsidRPr="007C25A6" w:rsidRDefault="009F23E3" w:rsidP="009F23E3">
      <w:pPr>
        <w:spacing w:line="276" w:lineRule="auto"/>
        <w:jc w:val="both"/>
        <w:rPr>
          <w:b/>
          <w:noProof/>
          <w:color w:val="CC9966" w:themeColor="accent2"/>
          <w:lang w:eastAsia="en-US"/>
        </w:rPr>
      </w:pPr>
      <w:r w:rsidRPr="007D1F0E">
        <w:rPr>
          <w:b/>
          <w:noProof/>
          <w:color w:val="CC9966" w:themeColor="accent2"/>
          <w:lang w:eastAsia="en-US"/>
        </w:rPr>
        <w:t xml:space="preserve">Objektiva të realizimit të Trajnimit Fillestar për vitin akademik në vijim 2018 </w:t>
      </w:r>
      <w:r w:rsidR="007D1F0E">
        <w:rPr>
          <w:b/>
          <w:noProof/>
          <w:color w:val="CC9966" w:themeColor="accent2"/>
          <w:lang w:eastAsia="en-US"/>
        </w:rPr>
        <w:t>–</w:t>
      </w:r>
      <w:r w:rsidRPr="007D1F0E">
        <w:rPr>
          <w:b/>
          <w:noProof/>
          <w:color w:val="CC9966" w:themeColor="accent2"/>
          <w:lang w:eastAsia="en-US"/>
        </w:rPr>
        <w:t xml:space="preserve"> 2019</w:t>
      </w:r>
    </w:p>
    <w:p w:rsidR="009F23E3" w:rsidRPr="00EE2DE7" w:rsidRDefault="009F23E3" w:rsidP="009F23E3">
      <w:pPr>
        <w:numPr>
          <w:ilvl w:val="0"/>
          <w:numId w:val="42"/>
        </w:numPr>
        <w:tabs>
          <w:tab w:val="left" w:pos="270"/>
        </w:tabs>
        <w:spacing w:line="276" w:lineRule="auto"/>
        <w:ind w:left="180" w:firstLine="90"/>
        <w:jc w:val="both"/>
        <w:rPr>
          <w:rFonts w:eastAsia="Calibri"/>
          <w:bCs/>
          <w:kern w:val="24"/>
        </w:rPr>
      </w:pPr>
      <w:r w:rsidRPr="00EE2DE7">
        <w:rPr>
          <w:rFonts w:eastAsia="Calibri"/>
          <w:bCs/>
          <w:kern w:val="24"/>
        </w:rPr>
        <w:t>Ruajtja e qëndrueshmërisë institucionale të Shkollës së Magjistraturës, duke filluar nga procesi i përzgjedhjes së magjistratëve, vlerësimit të tyre dhe në tërësi ruajtja e pavarësisë së Shkollës nga çdo pushtet apo ndikim që c</w:t>
      </w:r>
      <w:r>
        <w:rPr>
          <w:rFonts w:eastAsia="Calibri"/>
          <w:bCs/>
          <w:kern w:val="24"/>
        </w:rPr>
        <w:t>e</w:t>
      </w:r>
      <w:r w:rsidRPr="00EE2DE7">
        <w:rPr>
          <w:rFonts w:eastAsia="Calibri"/>
          <w:bCs/>
          <w:kern w:val="24"/>
        </w:rPr>
        <w:t>non apo zbeh pavarësinë dhe paanësinë e saj, deri te reputacioni pozitiv i saj, duke mundësuar edhe rikthim</w:t>
      </w:r>
      <w:r>
        <w:rPr>
          <w:rFonts w:eastAsia="Calibri"/>
          <w:bCs/>
          <w:kern w:val="24"/>
        </w:rPr>
        <w:t>in</w:t>
      </w:r>
      <w:r w:rsidRPr="00EE2DE7">
        <w:rPr>
          <w:rFonts w:eastAsia="Calibri"/>
          <w:bCs/>
          <w:kern w:val="24"/>
        </w:rPr>
        <w:t xml:space="preserve"> e besimit të</w:t>
      </w:r>
      <w:r>
        <w:rPr>
          <w:rFonts w:eastAsia="Calibri"/>
          <w:bCs/>
          <w:kern w:val="24"/>
        </w:rPr>
        <w:t xml:space="preserve"> publikut te</w:t>
      </w:r>
      <w:r w:rsidRPr="00EE2DE7">
        <w:rPr>
          <w:rFonts w:eastAsia="Calibri"/>
          <w:bCs/>
          <w:kern w:val="24"/>
        </w:rPr>
        <w:t xml:space="preserve"> drejtë</w:t>
      </w:r>
      <w:r>
        <w:rPr>
          <w:rFonts w:eastAsia="Calibri"/>
          <w:bCs/>
          <w:kern w:val="24"/>
        </w:rPr>
        <w:t>sia dhe te</w:t>
      </w:r>
      <w:r w:rsidRPr="00EE2DE7">
        <w:rPr>
          <w:rFonts w:eastAsia="Calibri"/>
          <w:bCs/>
          <w:kern w:val="24"/>
        </w:rPr>
        <w:t xml:space="preserve"> pushteti i ardhshëm gjyqësor</w:t>
      </w:r>
    </w:p>
    <w:p w:rsidR="009F23E3" w:rsidRPr="00CE2DD0" w:rsidRDefault="009F23E3" w:rsidP="009F23E3">
      <w:pPr>
        <w:numPr>
          <w:ilvl w:val="0"/>
          <w:numId w:val="42"/>
        </w:numPr>
        <w:tabs>
          <w:tab w:val="left" w:pos="270"/>
        </w:tabs>
        <w:spacing w:line="276" w:lineRule="auto"/>
        <w:ind w:left="180" w:firstLine="90"/>
        <w:jc w:val="both"/>
        <w:rPr>
          <w:rFonts w:eastAsia="Calibri"/>
          <w:bCs/>
          <w:kern w:val="24"/>
        </w:rPr>
      </w:pPr>
      <w:r w:rsidRPr="00EE2DE7">
        <w:rPr>
          <w:rFonts w:eastAsia="Times New Roman"/>
          <w:kern w:val="24"/>
          <w:lang w:eastAsia="de-DE"/>
        </w:rPr>
        <w:t>Detyrimi për organizimin e procedurave të rekrutimit nëpërmjet organizimit të provimit të pranimit</w:t>
      </w:r>
      <w:r w:rsidRPr="00CE2DD0">
        <w:rPr>
          <w:rFonts w:eastAsia="Times New Roman"/>
          <w:kern w:val="24"/>
          <w:lang w:eastAsia="de-DE"/>
        </w:rPr>
        <w:t>:</w:t>
      </w:r>
    </w:p>
    <w:p w:rsidR="009F23E3" w:rsidRPr="00CE2DD0" w:rsidRDefault="009F23E3" w:rsidP="009F23E3">
      <w:pPr>
        <w:numPr>
          <w:ilvl w:val="0"/>
          <w:numId w:val="43"/>
        </w:numPr>
        <w:tabs>
          <w:tab w:val="left" w:pos="270"/>
        </w:tabs>
        <w:spacing w:line="276" w:lineRule="auto"/>
        <w:jc w:val="both"/>
        <w:rPr>
          <w:rFonts w:eastAsia="Times New Roman"/>
          <w:bCs/>
          <w:kern w:val="24"/>
        </w:rPr>
      </w:pPr>
      <w:r w:rsidRPr="00CE2DD0">
        <w:rPr>
          <w:rFonts w:eastAsia="Times New Roman"/>
          <w:b/>
          <w:kern w:val="24"/>
          <w:lang w:eastAsia="de-DE"/>
        </w:rPr>
        <w:t>25 (50) kandidatëve për magjistratë</w:t>
      </w:r>
      <w:r w:rsidRPr="00CE2DD0">
        <w:rPr>
          <w:rFonts w:eastAsia="Times New Roman"/>
          <w:kern w:val="24"/>
          <w:lang w:eastAsia="de-DE"/>
        </w:rPr>
        <w:t xml:space="preserve"> (të ndarë në gjyqtarë dhe prokurorë), sipas procedurës së parashikuar në ligjin nr. 115/2016, “</w:t>
      </w:r>
      <w:r w:rsidRPr="00CE2DD0">
        <w:rPr>
          <w:rFonts w:eastAsia="Times New Roman"/>
          <w:i/>
          <w:kern w:val="24"/>
          <w:lang w:eastAsia="de-DE"/>
        </w:rPr>
        <w:t>Për organet e qeverisjes së sistemit të drejtësisë</w:t>
      </w:r>
      <w:r w:rsidRPr="00CE2DD0">
        <w:rPr>
          <w:rFonts w:eastAsia="Times New Roman"/>
          <w:kern w:val="24"/>
          <w:lang w:eastAsia="de-DE"/>
        </w:rPr>
        <w:t xml:space="preserve">”. Kjo procedurë duhet të fillojë në </w:t>
      </w:r>
      <w:r w:rsidRPr="00CE2DD0">
        <w:rPr>
          <w:rFonts w:eastAsia="Times New Roman"/>
          <w:kern w:val="24"/>
          <w:lang w:eastAsia="de-DE"/>
        </w:rPr>
        <w:lastRenderedPageBreak/>
        <w:t>muajin shkurt të vitit 2019, për vitin akademik 2019-2020. Për shkak të moskrijimit të Këshillit të Lartë Gjyqësor dhe Këshillit të Lartë të Prokurorisë, të cilët do të përcaktonin vendet vakante për kandidatët për gjyqtarë dhe kandidatët për prokurorë, konkursi i pranimit nuk u arrit të realizohej për këtë vit akademik.</w:t>
      </w:r>
    </w:p>
    <w:p w:rsidR="009F23E3" w:rsidRPr="00EE2DE7" w:rsidRDefault="009F23E3" w:rsidP="009F23E3">
      <w:pPr>
        <w:numPr>
          <w:ilvl w:val="0"/>
          <w:numId w:val="43"/>
        </w:numPr>
        <w:tabs>
          <w:tab w:val="left" w:pos="270"/>
        </w:tabs>
        <w:spacing w:line="276" w:lineRule="auto"/>
        <w:jc w:val="both"/>
        <w:rPr>
          <w:rFonts w:eastAsia="Times New Roman"/>
          <w:bCs/>
          <w:kern w:val="24"/>
        </w:rPr>
      </w:pPr>
      <w:r w:rsidRPr="00EE2DE7">
        <w:rPr>
          <w:rFonts w:eastAsia="Times New Roman"/>
          <w:b/>
          <w:kern w:val="24"/>
          <w:lang w:eastAsia="de-DE"/>
        </w:rPr>
        <w:t xml:space="preserve">Kandidatë për avokatë shteti, </w:t>
      </w:r>
      <w:r w:rsidRPr="00EE2DE7">
        <w:rPr>
          <w:rFonts w:eastAsia="Times New Roman"/>
          <w:kern w:val="24"/>
          <w:lang w:eastAsia="de-DE"/>
        </w:rPr>
        <w:t>kërkesat për rekrutim do të vijnë nga Avokatura e Shtetit;</w:t>
      </w:r>
    </w:p>
    <w:p w:rsidR="009F23E3" w:rsidRPr="00EE2DE7" w:rsidRDefault="009F23E3" w:rsidP="009F23E3">
      <w:pPr>
        <w:numPr>
          <w:ilvl w:val="0"/>
          <w:numId w:val="43"/>
        </w:numPr>
        <w:tabs>
          <w:tab w:val="left" w:pos="270"/>
        </w:tabs>
        <w:spacing w:line="276" w:lineRule="auto"/>
        <w:jc w:val="both"/>
        <w:rPr>
          <w:rFonts w:eastAsia="Times New Roman"/>
          <w:bCs/>
          <w:kern w:val="24"/>
        </w:rPr>
      </w:pPr>
      <w:r w:rsidRPr="00EE2DE7">
        <w:rPr>
          <w:rFonts w:eastAsia="Times New Roman"/>
          <w:b/>
          <w:kern w:val="24"/>
          <w:lang w:eastAsia="de-DE"/>
        </w:rPr>
        <w:t xml:space="preserve">Këshilltarë dhe ndihmës ligjorë, kërkesa për vende të lira </w:t>
      </w:r>
      <w:r w:rsidRPr="00EE2DE7">
        <w:rPr>
          <w:rFonts w:eastAsia="Times New Roman"/>
          <w:kern w:val="24"/>
          <w:lang w:eastAsia="de-DE"/>
        </w:rPr>
        <w:t>do të arsyetohet pas procesit të rivlerësimit, i cili do të përcaktojë edhe personat që do të vazhdojnë të qëndrojnë në detyrë. Vendet vakante do të propozohen nga KLGJ</w:t>
      </w:r>
      <w:r>
        <w:rPr>
          <w:rFonts w:eastAsia="Times New Roman"/>
          <w:kern w:val="24"/>
          <w:lang w:eastAsia="de-DE"/>
        </w:rPr>
        <w:t>-ja</w:t>
      </w:r>
      <w:r w:rsidRPr="00EE2DE7">
        <w:rPr>
          <w:rFonts w:eastAsia="Times New Roman"/>
          <w:kern w:val="24"/>
          <w:lang w:eastAsia="de-DE"/>
        </w:rPr>
        <w:t xml:space="preserve"> dhe KLP</w:t>
      </w:r>
      <w:r>
        <w:rPr>
          <w:rFonts w:eastAsia="Times New Roman"/>
          <w:kern w:val="24"/>
          <w:lang w:eastAsia="de-DE"/>
        </w:rPr>
        <w:t>-ja</w:t>
      </w:r>
      <w:r w:rsidRPr="00EE2DE7">
        <w:rPr>
          <w:rFonts w:eastAsia="Times New Roman"/>
          <w:kern w:val="24"/>
          <w:lang w:eastAsia="de-DE"/>
        </w:rPr>
        <w:t>.</w:t>
      </w:r>
    </w:p>
    <w:p w:rsidR="009F23E3" w:rsidRPr="008050D4" w:rsidRDefault="009F23E3" w:rsidP="009F23E3">
      <w:pPr>
        <w:numPr>
          <w:ilvl w:val="0"/>
          <w:numId w:val="43"/>
        </w:numPr>
        <w:tabs>
          <w:tab w:val="left" w:pos="270"/>
        </w:tabs>
        <w:spacing w:line="276" w:lineRule="auto"/>
        <w:jc w:val="both"/>
        <w:rPr>
          <w:rFonts w:eastAsia="Times New Roman"/>
          <w:bCs/>
          <w:kern w:val="24"/>
        </w:rPr>
      </w:pPr>
      <w:r w:rsidRPr="00EE2DE7">
        <w:rPr>
          <w:rFonts w:eastAsia="Times New Roman"/>
          <w:b/>
          <w:kern w:val="24"/>
          <w:lang w:eastAsia="de-DE"/>
        </w:rPr>
        <w:t>Kancelarëve në detyrë</w:t>
      </w:r>
      <w:r w:rsidRPr="00EE2DE7">
        <w:rPr>
          <w:rFonts w:eastAsia="Times New Roman"/>
          <w:kern w:val="24"/>
          <w:lang w:eastAsia="de-DE"/>
        </w:rPr>
        <w:t xml:space="preserve"> (një herë në tre vjet), si edhe të</w:t>
      </w:r>
      <w:r>
        <w:rPr>
          <w:rFonts w:eastAsia="Times New Roman"/>
          <w:kern w:val="24"/>
          <w:lang w:eastAsia="de-DE"/>
        </w:rPr>
        <w:t xml:space="preserve"> kandidatëve për kancelarë. </w:t>
      </w:r>
    </w:p>
    <w:p w:rsidR="009F23E3" w:rsidRPr="00EE2DE7" w:rsidRDefault="009F23E3" w:rsidP="009F23E3">
      <w:pPr>
        <w:tabs>
          <w:tab w:val="left" w:pos="270"/>
        </w:tabs>
        <w:spacing w:line="276" w:lineRule="auto"/>
        <w:ind w:left="990"/>
        <w:jc w:val="both"/>
        <w:rPr>
          <w:rFonts w:eastAsia="Times New Roman"/>
          <w:bCs/>
          <w:kern w:val="24"/>
        </w:rPr>
      </w:pPr>
    </w:p>
    <w:p w:rsidR="009F23E3" w:rsidRPr="00EE2DE7" w:rsidRDefault="009F23E3" w:rsidP="009F23E3">
      <w:pPr>
        <w:tabs>
          <w:tab w:val="left" w:pos="270"/>
        </w:tabs>
        <w:spacing w:line="276" w:lineRule="auto"/>
        <w:ind w:left="270"/>
        <w:jc w:val="both"/>
        <w:rPr>
          <w:rFonts w:eastAsia="Calibri"/>
          <w:bCs/>
          <w:kern w:val="24"/>
        </w:rPr>
      </w:pPr>
      <w:r>
        <w:rPr>
          <w:rFonts w:eastAsia="Times New Roman"/>
          <w:kern w:val="24"/>
          <w:lang w:eastAsia="de-DE"/>
        </w:rPr>
        <w:tab/>
      </w:r>
      <w:r w:rsidRPr="007D1F0E">
        <w:rPr>
          <w:rFonts w:eastAsia="Times New Roman"/>
          <w:kern w:val="24"/>
          <w:lang w:eastAsia="de-DE"/>
        </w:rPr>
        <w:t>3.</w:t>
      </w:r>
      <w:r w:rsidRPr="00EE2DE7">
        <w:rPr>
          <w:rFonts w:eastAsia="Times New Roman"/>
          <w:kern w:val="24"/>
          <w:lang w:eastAsia="de-DE"/>
        </w:rPr>
        <w:t xml:space="preserve"> Detyrimi për kryerjen e testimit profesional, për shkak të ligjit të</w:t>
      </w:r>
      <w:r>
        <w:rPr>
          <w:rFonts w:eastAsia="Times New Roman"/>
          <w:kern w:val="24"/>
          <w:lang w:eastAsia="de-DE"/>
        </w:rPr>
        <w:t xml:space="preserve"> </w:t>
      </w:r>
      <w:r w:rsidRPr="00001903">
        <w:rPr>
          <w:rFonts w:eastAsia="Times New Roman"/>
          <w:i/>
          <w:kern w:val="24"/>
          <w:lang w:eastAsia="de-DE"/>
        </w:rPr>
        <w:t>vetingut</w:t>
      </w:r>
      <w:r w:rsidRPr="00EE2DE7">
        <w:rPr>
          <w:rFonts w:eastAsia="Times New Roman"/>
          <w:kern w:val="24"/>
          <w:lang w:eastAsia="de-DE"/>
        </w:rPr>
        <w:t>, nëpërmjet organizimit të procedurave të provimit të:</w:t>
      </w:r>
      <w:r>
        <w:rPr>
          <w:rFonts w:eastAsia="Times New Roman"/>
          <w:kern w:val="24"/>
          <w:lang w:eastAsia="de-DE"/>
        </w:rPr>
        <w:t xml:space="preserve"> </w:t>
      </w:r>
    </w:p>
    <w:p w:rsidR="009F23E3" w:rsidRPr="008050D4" w:rsidRDefault="009F23E3" w:rsidP="009F23E3">
      <w:pPr>
        <w:numPr>
          <w:ilvl w:val="0"/>
          <w:numId w:val="44"/>
        </w:numPr>
        <w:tabs>
          <w:tab w:val="left" w:pos="270"/>
        </w:tabs>
        <w:spacing w:line="276" w:lineRule="auto"/>
        <w:jc w:val="both"/>
        <w:rPr>
          <w:rFonts w:eastAsia="Times New Roman"/>
          <w:bCs/>
          <w:kern w:val="24"/>
        </w:rPr>
      </w:pPr>
      <w:r w:rsidRPr="00EE2DE7">
        <w:rPr>
          <w:rFonts w:eastAsia="Times New Roman"/>
          <w:kern w:val="24"/>
          <w:lang w:eastAsia="de-DE"/>
        </w:rPr>
        <w:t>kancelarëve në detyrë.</w:t>
      </w:r>
    </w:p>
    <w:p w:rsidR="009F23E3" w:rsidRPr="00EE2DE7" w:rsidRDefault="009F23E3" w:rsidP="009F23E3">
      <w:pPr>
        <w:tabs>
          <w:tab w:val="left" w:pos="270"/>
        </w:tabs>
        <w:spacing w:line="276" w:lineRule="auto"/>
        <w:ind w:left="990"/>
        <w:jc w:val="both"/>
        <w:rPr>
          <w:rFonts w:eastAsia="Times New Roman"/>
          <w:bCs/>
          <w:kern w:val="24"/>
        </w:rPr>
      </w:pPr>
    </w:p>
    <w:p w:rsidR="009F23E3" w:rsidRPr="00EE2DE7" w:rsidRDefault="009F23E3" w:rsidP="009F23E3">
      <w:pPr>
        <w:spacing w:line="276" w:lineRule="auto"/>
        <w:jc w:val="both"/>
        <w:rPr>
          <w:rFonts w:eastAsia="Times New Roman"/>
          <w:kern w:val="24"/>
          <w:lang w:eastAsia="de-DE"/>
        </w:rPr>
      </w:pPr>
      <w:r w:rsidRPr="00EE2DE7">
        <w:rPr>
          <w:rFonts w:eastAsia="Times New Roman"/>
          <w:kern w:val="24"/>
          <w:lang w:eastAsia="de-DE"/>
        </w:rPr>
        <w:t xml:space="preserve">    </w:t>
      </w:r>
      <w:r>
        <w:rPr>
          <w:rFonts w:eastAsia="Times New Roman"/>
          <w:kern w:val="24"/>
          <w:lang w:eastAsia="de-DE"/>
        </w:rPr>
        <w:tab/>
      </w:r>
      <w:r w:rsidRPr="007D1F0E">
        <w:rPr>
          <w:rFonts w:eastAsia="Times New Roman"/>
          <w:kern w:val="24"/>
          <w:lang w:eastAsia="de-DE"/>
        </w:rPr>
        <w:t>4.</w:t>
      </w:r>
      <w:r w:rsidRPr="00EE2DE7">
        <w:rPr>
          <w:rFonts w:eastAsia="Times New Roman"/>
          <w:kern w:val="24"/>
          <w:lang w:eastAsia="de-DE"/>
        </w:rPr>
        <w:t xml:space="preserve"> Detyrimi për Formimin profesional Fillestar të:</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b/>
          <w:kern w:val="24"/>
          <w:lang w:eastAsia="de-DE"/>
        </w:rPr>
        <w:t xml:space="preserve">kandidatëve për magjistratë, </w:t>
      </w:r>
      <w:r w:rsidRPr="00EE2DE7">
        <w:rPr>
          <w:rFonts w:eastAsia="Times New Roman"/>
          <w:kern w:val="24"/>
          <w:lang w:eastAsia="de-DE"/>
        </w:rPr>
        <w:t xml:space="preserve">nëpërmjet një programi mësimor trevjeçar, shoqëruar me </w:t>
      </w:r>
      <w:r>
        <w:rPr>
          <w:rFonts w:eastAsia="Times New Roman"/>
          <w:kern w:val="24"/>
          <w:lang w:eastAsia="de-DE"/>
        </w:rPr>
        <w:t>ku</w:t>
      </w:r>
      <w:r w:rsidRPr="00EE2DE7">
        <w:rPr>
          <w:rFonts w:eastAsia="Times New Roman"/>
          <w:kern w:val="24"/>
          <w:lang w:eastAsia="de-DE"/>
        </w:rPr>
        <w:t>rikula të standardeve bashkëkohore të përshtatura edhe me ndryshimet apo detyrimet që kanë të bëjnë me sistemin në kuadër të reformës në drejtësi;</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b/>
          <w:kern w:val="24"/>
          <w:lang w:eastAsia="de-DE"/>
        </w:rPr>
        <w:t>kandidatëve për magjistratë, sipas parashikimeve të nenit 165/4 të ligjit nr. 96/2016</w:t>
      </w:r>
      <w:r>
        <w:rPr>
          <w:rFonts w:eastAsia="Times New Roman"/>
          <w:b/>
          <w:kern w:val="24"/>
          <w:lang w:eastAsia="de-DE"/>
        </w:rPr>
        <w:t>,</w:t>
      </w:r>
      <w:r w:rsidRPr="00EE2DE7">
        <w:rPr>
          <w:rFonts w:eastAsia="Times New Roman"/>
          <w:b/>
          <w:kern w:val="24"/>
          <w:lang w:eastAsia="de-DE"/>
        </w:rPr>
        <w:t xml:space="preserve"> “</w:t>
      </w:r>
      <w:r w:rsidRPr="00EE2DE7">
        <w:rPr>
          <w:rFonts w:eastAsia="Times New Roman"/>
          <w:b/>
          <w:i/>
          <w:kern w:val="24"/>
          <w:lang w:eastAsia="de-DE"/>
        </w:rPr>
        <w:t xml:space="preserve">Për statusin e gjyqtarëve </w:t>
      </w:r>
      <w:r w:rsidRPr="00EE2DE7">
        <w:rPr>
          <w:rFonts w:eastAsia="Times New Roman"/>
          <w:b/>
          <w:i/>
          <w:kern w:val="24"/>
          <w:lang w:eastAsia="de-DE"/>
        </w:rPr>
        <w:t>dhe prokurorëve në Republikën e Shqipërisë</w:t>
      </w:r>
      <w:r w:rsidRPr="00EE2DE7">
        <w:rPr>
          <w:rFonts w:eastAsia="Times New Roman"/>
          <w:b/>
          <w:kern w:val="24"/>
          <w:lang w:eastAsia="de-DE"/>
        </w:rPr>
        <w:t xml:space="preserve">“, </w:t>
      </w:r>
      <w:r w:rsidRPr="00EE2DE7">
        <w:rPr>
          <w:rFonts w:eastAsia="Times New Roman"/>
          <w:kern w:val="24"/>
          <w:lang w:eastAsia="de-DE"/>
        </w:rPr>
        <w:t xml:space="preserve">me një </w:t>
      </w:r>
      <w:r>
        <w:rPr>
          <w:rFonts w:eastAsia="Times New Roman"/>
          <w:kern w:val="24"/>
          <w:lang w:eastAsia="de-DE"/>
        </w:rPr>
        <w:t>p</w:t>
      </w:r>
      <w:r w:rsidRPr="00EE2DE7">
        <w:rPr>
          <w:rFonts w:eastAsia="Times New Roman"/>
          <w:kern w:val="24"/>
          <w:lang w:eastAsia="de-DE"/>
        </w:rPr>
        <w:t xml:space="preserve">rogram dyvjeçar trajnimi. Programi i trajnimit dhe plani mësimor për kandidatët për magjistratë, të ardhur nga radhët e ndihmësve/këshilltarëve ligjorë në gjykata dhe prokurori, si subjekte rivlerësimi </w:t>
      </w:r>
      <w:r w:rsidRPr="00EE2DE7">
        <w:rPr>
          <w:rFonts w:eastAsia="Times New Roman"/>
          <w:i/>
          <w:kern w:val="24"/>
          <w:lang w:eastAsia="de-DE"/>
        </w:rPr>
        <w:t>ex officio</w:t>
      </w:r>
      <w:r w:rsidRPr="00EE2DE7">
        <w:rPr>
          <w:rFonts w:eastAsia="Times New Roman"/>
          <w:kern w:val="24"/>
          <w:lang w:eastAsia="de-DE"/>
        </w:rPr>
        <w:t xml:space="preserve"> është përgatitur posaçërisht për këtë kategori, si një detyrim ligjor ndaj Shkollës së Magjistraturës;</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b/>
          <w:kern w:val="24"/>
          <w:lang w:eastAsia="de-DE"/>
        </w:rPr>
        <w:t>gjyqtarëve dhe prokurorëve që nuk do të kalojnë procesin e vetingut</w:t>
      </w:r>
      <w:r w:rsidRPr="00EE2DE7">
        <w:rPr>
          <w:rFonts w:eastAsia="Times New Roman"/>
          <w:kern w:val="24"/>
          <w:lang w:eastAsia="de-DE"/>
        </w:rPr>
        <w:t xml:space="preserve"> për arsye të përgatitjes së pamjaftueshme profesionale, nëpërmjet një programi mësimor njëvjeçar të përshtatur për ta, që i përgjigjet eksperiencës dhe përgatitjes që ata kanë;</w:t>
      </w:r>
    </w:p>
    <w:p w:rsidR="009F23E3" w:rsidRPr="00EE2DE7" w:rsidRDefault="009F23E3" w:rsidP="009F23E3">
      <w:pPr>
        <w:numPr>
          <w:ilvl w:val="0"/>
          <w:numId w:val="45"/>
        </w:numPr>
        <w:spacing w:line="276" w:lineRule="auto"/>
        <w:contextualSpacing/>
        <w:jc w:val="both"/>
        <w:rPr>
          <w:rFonts w:eastAsia="Times New Roman"/>
          <w:kern w:val="24"/>
          <w:lang w:eastAsia="de-DE"/>
        </w:rPr>
      </w:pPr>
      <w:r w:rsidRPr="00EE2DE7">
        <w:rPr>
          <w:rFonts w:eastAsia="Times New Roman"/>
          <w:b/>
          <w:kern w:val="24"/>
          <w:lang w:eastAsia="de-DE"/>
        </w:rPr>
        <w:t>kandidatëve për pozicionet në Avokaturën e Shtetit dhe të kandidatëve për ndihmës ligjorë</w:t>
      </w:r>
      <w:r w:rsidRPr="00EE2DE7">
        <w:rPr>
          <w:rFonts w:eastAsia="Times New Roman"/>
          <w:kern w:val="24"/>
          <w:lang w:eastAsia="de-DE"/>
        </w:rPr>
        <w:t xml:space="preserve"> nëpërmjet një programi mësimor dyvjeçar, që i përgjigjet eksperiencës dhe përgatitjes që ata kanë;</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b/>
          <w:kern w:val="24"/>
          <w:lang w:eastAsia="de-DE"/>
        </w:rPr>
        <w:t>kandidatëve për kancelarë</w:t>
      </w:r>
      <w:r w:rsidRPr="00EE2DE7">
        <w:rPr>
          <w:rFonts w:eastAsia="Times New Roman"/>
          <w:kern w:val="24"/>
          <w:lang w:eastAsia="de-DE"/>
        </w:rPr>
        <w:t xml:space="preserve"> nëpërmjet një programi tremujor të organizuar si pjesë e Trajnimit Fillestar të tyre.</w:t>
      </w:r>
    </w:p>
    <w:p w:rsidR="009F23E3" w:rsidRPr="00EE2DE7" w:rsidRDefault="009F23E3" w:rsidP="009F23E3">
      <w:pPr>
        <w:spacing w:line="276" w:lineRule="auto"/>
        <w:ind w:left="780"/>
        <w:jc w:val="both"/>
        <w:rPr>
          <w:rFonts w:eastAsia="Times New Roman"/>
          <w:b/>
          <w:kern w:val="24"/>
          <w:lang w:eastAsia="de-DE"/>
        </w:rPr>
      </w:pP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5.</w:t>
      </w:r>
      <w:r w:rsidRPr="00EE2DE7">
        <w:rPr>
          <w:rFonts w:eastAsia="Times New Roman"/>
          <w:kern w:val="24"/>
          <w:lang w:eastAsia="de-DE"/>
        </w:rPr>
        <w:t xml:space="preserve"> Sigurimi i standardit më të lartë në mësimdhënie, nëpërmjet përsosjes dhe përafrimit të programeve të lëndëve me standardet dhe </w:t>
      </w:r>
      <w:r>
        <w:rPr>
          <w:rFonts w:eastAsia="Times New Roman"/>
          <w:kern w:val="24"/>
          <w:lang w:eastAsia="de-DE"/>
        </w:rPr>
        <w:t>ku</w:t>
      </w:r>
      <w:r w:rsidRPr="00EE2DE7">
        <w:rPr>
          <w:rFonts w:eastAsia="Times New Roman"/>
          <w:kern w:val="24"/>
          <w:lang w:eastAsia="de-DE"/>
        </w:rPr>
        <w:t>rikulat e vendeve e</w:t>
      </w:r>
      <w:r>
        <w:rPr>
          <w:rFonts w:eastAsia="Times New Roman"/>
          <w:kern w:val="24"/>
          <w:lang w:eastAsia="de-DE"/>
        </w:rPr>
        <w:t>u</w:t>
      </w:r>
      <w:r w:rsidRPr="00EE2DE7">
        <w:rPr>
          <w:rFonts w:eastAsia="Times New Roman"/>
          <w:kern w:val="24"/>
          <w:lang w:eastAsia="de-DE"/>
        </w:rPr>
        <w:t>ropiane. Një nga objektivat e Shkollës së Magjistraturës është edhe rishikimi i  Programeve dhe planeve mësimor</w:t>
      </w:r>
      <w:r>
        <w:rPr>
          <w:rFonts w:eastAsia="Times New Roman"/>
          <w:kern w:val="24"/>
          <w:lang w:eastAsia="de-DE"/>
        </w:rPr>
        <w:t>e</w:t>
      </w:r>
      <w:r w:rsidRPr="00EE2DE7">
        <w:rPr>
          <w:rFonts w:eastAsia="Times New Roman"/>
          <w:kern w:val="24"/>
          <w:lang w:eastAsia="de-DE"/>
        </w:rPr>
        <w:t xml:space="preserve">, për shkak të ndryshimeve të legjislacionit të brendshëm, si </w:t>
      </w:r>
      <w:r w:rsidRPr="00EE2DE7">
        <w:rPr>
          <w:rFonts w:eastAsia="Calibri"/>
          <w:color w:val="000000"/>
          <w:kern w:val="24"/>
          <w:shd w:val="clear" w:color="auto" w:fill="FFFFFF"/>
        </w:rPr>
        <w:t xml:space="preserve">dhe në përputhje me </w:t>
      </w:r>
      <w:r w:rsidRPr="00EE2DE7">
        <w:rPr>
          <w:rFonts w:eastAsia="Calibri"/>
          <w:i/>
          <w:color w:val="000000"/>
          <w:kern w:val="24"/>
          <w:shd w:val="clear" w:color="auto" w:fill="FFFFFF"/>
        </w:rPr>
        <w:t>acquis</w:t>
      </w:r>
      <w:r w:rsidRPr="00EE2DE7">
        <w:rPr>
          <w:rFonts w:eastAsia="Calibri"/>
          <w:color w:val="000000"/>
          <w:kern w:val="24"/>
          <w:shd w:val="clear" w:color="auto" w:fill="FFFFFF"/>
        </w:rPr>
        <w:t xml:space="preserve"> </w:t>
      </w:r>
      <w:r>
        <w:rPr>
          <w:rFonts w:eastAsia="Calibri"/>
          <w:color w:val="000000"/>
          <w:kern w:val="24"/>
          <w:shd w:val="clear" w:color="auto" w:fill="FFFFFF"/>
        </w:rPr>
        <w:t>e</w:t>
      </w:r>
      <w:r w:rsidRPr="00EE2DE7">
        <w:rPr>
          <w:rFonts w:eastAsia="Calibri"/>
          <w:color w:val="000000"/>
          <w:kern w:val="24"/>
          <w:shd w:val="clear" w:color="auto" w:fill="FFFFFF"/>
        </w:rPr>
        <w:t xml:space="preserve"> BE-së</w:t>
      </w:r>
      <w:r w:rsidRPr="00EE2DE7">
        <w:rPr>
          <w:rFonts w:eastAsia="Times New Roman"/>
          <w:kern w:val="24"/>
          <w:lang w:eastAsia="de-DE"/>
        </w:rPr>
        <w:t>. Në veçanti do të përqendrohemi te ndryshimet apo detyrimet që kanë të bëjnë me gjyqësorin dhe prokurorinë, në kuadër të reformave në sistemin e drejtësisë nëpërmjet:</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kern w:val="24"/>
          <w:lang w:eastAsia="de-DE"/>
        </w:rPr>
        <w:lastRenderedPageBreak/>
        <w:t xml:space="preserve">përgatitjes së </w:t>
      </w:r>
      <w:r>
        <w:rPr>
          <w:rFonts w:eastAsia="Times New Roman"/>
          <w:kern w:val="24"/>
          <w:lang w:eastAsia="de-DE"/>
        </w:rPr>
        <w:t>kur</w:t>
      </w:r>
      <w:r w:rsidRPr="00EE2DE7">
        <w:rPr>
          <w:rFonts w:eastAsia="Times New Roman"/>
          <w:kern w:val="24"/>
          <w:lang w:eastAsia="de-DE"/>
        </w:rPr>
        <w:t xml:space="preserve">ikulave të kandidatëve për magjistratë, 9 kandidatë për gjyqtarë, që vijnë nga radhët e ndihmësve/ këshilltarëve ligjorë, sipas parashikimeve të nenit 165/4 të ligjit </w:t>
      </w:r>
      <w:r>
        <w:rPr>
          <w:rFonts w:eastAsia="Times New Roman"/>
          <w:kern w:val="24"/>
          <w:lang w:eastAsia="de-DE"/>
        </w:rPr>
        <w:t xml:space="preserve">nr. </w:t>
      </w:r>
      <w:r w:rsidRPr="00EE2DE7">
        <w:rPr>
          <w:rFonts w:eastAsia="Times New Roman"/>
          <w:kern w:val="24"/>
          <w:lang w:eastAsia="de-DE"/>
        </w:rPr>
        <w:t xml:space="preserve">96/2016 (viti akademik 2018 - 2019) si edhe për </w:t>
      </w:r>
      <w:r w:rsidRPr="00EE2DE7">
        <w:rPr>
          <w:rFonts w:eastAsia="Times New Roman"/>
          <w:b/>
          <w:kern w:val="24"/>
          <w:lang w:eastAsia="de-DE"/>
        </w:rPr>
        <w:t>kandidatët për pozicionet në Avokaturën e Shtetit dhe të kandidatëve për ndihmës ligjorë</w:t>
      </w:r>
      <w:r w:rsidRPr="00EE2DE7">
        <w:rPr>
          <w:rFonts w:eastAsia="Times New Roman"/>
          <w:kern w:val="24"/>
          <w:lang w:eastAsia="de-DE"/>
        </w:rPr>
        <w:t xml:space="preserve">; </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kern w:val="24"/>
          <w:lang w:eastAsia="de-DE"/>
        </w:rPr>
        <w:t xml:space="preserve">përgatitjes së </w:t>
      </w:r>
      <w:r>
        <w:rPr>
          <w:rFonts w:eastAsia="Times New Roman"/>
          <w:kern w:val="24"/>
          <w:lang w:eastAsia="de-DE"/>
        </w:rPr>
        <w:t>kur</w:t>
      </w:r>
      <w:r w:rsidRPr="00EE2DE7">
        <w:rPr>
          <w:rFonts w:eastAsia="Times New Roman"/>
          <w:kern w:val="24"/>
          <w:lang w:eastAsia="de-DE"/>
        </w:rPr>
        <w:t xml:space="preserve">ikulave për Trajnimin Fillestar të kandidatëve për magjistratë që vijnë nga radhët e gjyqtarëve dhe prokurorëve që nuk do të kalojnë procesin e </w:t>
      </w:r>
      <w:r>
        <w:rPr>
          <w:rFonts w:eastAsia="Times New Roman"/>
          <w:kern w:val="24"/>
          <w:lang w:eastAsia="de-DE"/>
        </w:rPr>
        <w:t>vet</w:t>
      </w:r>
      <w:r w:rsidRPr="00EE2DE7">
        <w:rPr>
          <w:rFonts w:eastAsia="Times New Roman"/>
          <w:kern w:val="24"/>
          <w:lang w:eastAsia="de-DE"/>
        </w:rPr>
        <w:t>ingut për arsye të përgatitjes së pamjaftueshme profesionale,</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kern w:val="24"/>
          <w:lang w:eastAsia="de-DE"/>
        </w:rPr>
        <w:t xml:space="preserve">përgatitjes së </w:t>
      </w:r>
      <w:r>
        <w:rPr>
          <w:rFonts w:eastAsia="Times New Roman"/>
          <w:kern w:val="24"/>
          <w:lang w:eastAsia="de-DE"/>
        </w:rPr>
        <w:t>kur</w:t>
      </w:r>
      <w:r w:rsidRPr="00EE2DE7">
        <w:rPr>
          <w:rFonts w:eastAsia="Times New Roman"/>
          <w:kern w:val="24"/>
          <w:lang w:eastAsia="de-DE"/>
        </w:rPr>
        <w:t>ikulave për Trajnimin Fillestar të kancelarëve të gjykatave dhe prokurorive;</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kern w:val="24"/>
          <w:lang w:eastAsia="de-DE"/>
        </w:rPr>
        <w:t>sigurimit të sallave për mësim të tri grupeve, ku nevojitet të paktën një sallë për çdo grup prej 25 personash;</w:t>
      </w:r>
    </w:p>
    <w:p w:rsidR="009F23E3" w:rsidRPr="00EE2DE7" w:rsidRDefault="009F23E3" w:rsidP="009F23E3">
      <w:pPr>
        <w:numPr>
          <w:ilvl w:val="0"/>
          <w:numId w:val="45"/>
        </w:numPr>
        <w:spacing w:line="276" w:lineRule="auto"/>
        <w:jc w:val="both"/>
        <w:rPr>
          <w:rFonts w:eastAsia="Times New Roman"/>
          <w:kern w:val="24"/>
          <w:lang w:eastAsia="de-DE"/>
        </w:rPr>
      </w:pPr>
      <w:r w:rsidRPr="00EE2DE7">
        <w:rPr>
          <w:rFonts w:eastAsia="Times New Roman"/>
          <w:kern w:val="24"/>
          <w:lang w:eastAsia="de-DE"/>
        </w:rPr>
        <w:t xml:space="preserve">sigurimit të trupës pedagogjike për çdo grup trajnimi dhe për çdo program trajnimi, duke llogaritur që për 20-25 kandidatë që trajnohen nevojiten rreth 35-40 pedagogë për programin e plotë trevjeçar dhe rreth 20 trajnerë në programin më të reduktuar për kategoritë e trajnimit 1.1.2 dhe 1.2.1. </w:t>
      </w:r>
    </w:p>
    <w:p w:rsidR="009F23E3" w:rsidRPr="009A01C5" w:rsidRDefault="009F23E3" w:rsidP="009F23E3">
      <w:pPr>
        <w:numPr>
          <w:ilvl w:val="0"/>
          <w:numId w:val="45"/>
        </w:numPr>
        <w:spacing w:line="276" w:lineRule="auto"/>
        <w:jc w:val="both"/>
        <w:rPr>
          <w:rFonts w:eastAsia="Times New Roman"/>
          <w:kern w:val="24"/>
          <w:lang w:eastAsia="de-DE"/>
        </w:rPr>
      </w:pPr>
      <w:r w:rsidRPr="009A01C5">
        <w:rPr>
          <w:rFonts w:eastAsia="Times New Roman"/>
          <w:kern w:val="24"/>
          <w:lang w:eastAsia="de-DE"/>
        </w:rPr>
        <w:t xml:space="preserve">sigurimit të një shtese në stafin pedagogjik dhe administrativ me të paktën 2-3 persona për çdo program trajnimi gjatë tri viteve në vazhdim. </w:t>
      </w:r>
    </w:p>
    <w:p w:rsidR="009F23E3" w:rsidRPr="00EE2DE7" w:rsidRDefault="009F23E3" w:rsidP="009F23E3">
      <w:pPr>
        <w:spacing w:line="276" w:lineRule="auto"/>
        <w:rPr>
          <w:rFonts w:eastAsia="Calibri"/>
          <w:kern w:val="24"/>
        </w:rPr>
      </w:pPr>
    </w:p>
    <w:p w:rsidR="009F23E3" w:rsidRPr="008050D4"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6.</w:t>
      </w:r>
      <w:r w:rsidRPr="00EE2DE7">
        <w:rPr>
          <w:rFonts w:eastAsia="Times New Roman"/>
          <w:kern w:val="24"/>
          <w:lang w:eastAsia="de-DE"/>
        </w:rPr>
        <w:t xml:space="preserve"> Rritja e nivelit të mësimdhënies nga pedagogët edhe nëpërmjet ndërtimit të një sistemi vlerësimi të Trajnimit Fillestar nga vetë kandidatët për magjistrat. Shkolla duhet të mbështetet te një staf pedagogjik me përvojë. Për këtë arsye, ne kemi ndërtuar një </w:t>
      </w:r>
      <w:r w:rsidRPr="00EE2DE7">
        <w:rPr>
          <w:rFonts w:eastAsia="Times New Roman"/>
          <w:kern w:val="24"/>
          <w:lang w:eastAsia="de-DE"/>
        </w:rPr>
        <w:t xml:space="preserve">sistem të vlerësimit të nivelit të Trajnimit Fillestar, ku kryesisht kandidatët për magjistrat shprehen anonimisht për nivelin e organizimit të procesit mësimor, duke filluar nga programet, struktura e tyre, tematika, metodologjia, pedagogët dhe specialistët, me qëllim që të pasqyrohen ndryshimet për vitet e ardhshme akademike. Për të rritur shkallën e profesionalizmit në mësimdhënie, duhet të bëhet kujdes në zbatimin e sistemit të vlerësimit të pedagogëve, për të parë nëse ka nevojë për ndryshime në listën e tyre, si dhe në grupet e lëndëve, të parashikuara në programet mësimore. </w:t>
      </w:r>
      <w:r w:rsidRPr="00EE2DE7">
        <w:rPr>
          <w:rFonts w:eastAsia="Calibri"/>
          <w:kern w:val="24"/>
        </w:rPr>
        <w:t xml:space="preserve">Procesi i vlerësimit të pedagogëve të Formimit Fillestar realizohet në fund të çdo viti akademik dhe kryhet </w:t>
      </w:r>
      <w:r w:rsidRPr="00EE2DE7">
        <w:rPr>
          <w:rFonts w:eastAsia="Times New Roman"/>
          <w:kern w:val="24"/>
          <w:lang w:eastAsia="de-DE"/>
        </w:rPr>
        <w:t>fillimisht nga kandidatët për magjistratë, të cilët plotësojnë pyetësorët në fund të ç</w:t>
      </w:r>
      <w:r>
        <w:rPr>
          <w:rFonts w:eastAsia="Times New Roman"/>
          <w:kern w:val="24"/>
          <w:lang w:eastAsia="de-DE"/>
        </w:rPr>
        <w:t>do</w:t>
      </w:r>
      <w:r w:rsidRPr="00EE2DE7">
        <w:rPr>
          <w:rFonts w:eastAsia="Times New Roman"/>
          <w:kern w:val="24"/>
          <w:lang w:eastAsia="de-DE"/>
        </w:rPr>
        <w:t xml:space="preserve"> viti akademik, duke respektuar anonimatin</w:t>
      </w:r>
      <w:r w:rsidRPr="00EE2DE7">
        <w:rPr>
          <w:rFonts w:eastAsia="Times New Roman"/>
          <w:kern w:val="24"/>
        </w:rPr>
        <w:t>:</w:t>
      </w:r>
      <w:r w:rsidRPr="00EE2DE7">
        <w:rPr>
          <w:rFonts w:eastAsia="Times New Roman"/>
          <w:i/>
          <w:kern w:val="24"/>
        </w:rPr>
        <w:t xml:space="preserve"> </w:t>
      </w:r>
      <w:r w:rsidRPr="00EE2DE7">
        <w:rPr>
          <w:rFonts w:eastAsia="Times New Roman"/>
          <w:kern w:val="24"/>
        </w:rPr>
        <w:t>Përgjegjësi i Formimit Fillestar përgatit një relacion me shkrim në fund të çdo viti akademik me vlerësimet për punën e çdo pedagogu/specialisti, të aktivizuar gjatë vitit akademik të</w:t>
      </w:r>
      <w:r w:rsidRPr="00EE2DE7">
        <w:rPr>
          <w:rFonts w:eastAsia="Times New Roman"/>
          <w:kern w:val="24"/>
          <w:lang w:eastAsia="de-DE"/>
        </w:rPr>
        <w:t xml:space="preserve"> cilin ia drejton Drejtorit të Shkollës. </w:t>
      </w:r>
      <w:r w:rsidRPr="00EE2DE7">
        <w:rPr>
          <w:rFonts w:eastAsia="Times New Roman"/>
          <w:kern w:val="24"/>
        </w:rPr>
        <w:t xml:space="preserve">Drejtori i Shkollës, çdo fillim viti akademik përgatit një raport për Këshillin Drejtues mbi rezultatet e vlerësimit të pedagogëve/specialistëve gjatë vitit pararendës akademik, së bashku me propozimet për marrjen e masave për largimin apo ndryshimin e atyre që nuk plotësojnë kriteret, me qëllim që Këshilli Drejtues të realizojë vendimmarrjen e tij në formën e dhënies së </w:t>
      </w:r>
      <w:r w:rsidRPr="00EE2DE7">
        <w:rPr>
          <w:rFonts w:eastAsia="Times New Roman"/>
          <w:i/>
          <w:kern w:val="24"/>
        </w:rPr>
        <w:t>Vlerësimit Përfundimtar.</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8050D4">
        <w:rPr>
          <w:rFonts w:eastAsia="Times New Roman"/>
          <w:b/>
          <w:kern w:val="24"/>
          <w:lang w:eastAsia="de-DE"/>
        </w:rPr>
        <w:t>7.</w:t>
      </w:r>
      <w:r w:rsidRPr="00EE2DE7">
        <w:rPr>
          <w:rFonts w:eastAsia="Times New Roman"/>
          <w:kern w:val="24"/>
          <w:lang w:eastAsia="de-DE"/>
        </w:rPr>
        <w:t xml:space="preserve"> Programi i praktikës së vitit të tretë duhet të përmirësohet që kontaktet e Shkollës me kandidatët e praktikës të jenë më aktive dhe më periodike. Kjo do të realizohet përmes takimeve dhe raportimeve mujore të kandidatëve me trupën pedagogjike apo Këshillin Pedagogjik. Gjatë këtij viti, ata nuk </w:t>
      </w:r>
      <w:r w:rsidRPr="00EE2DE7">
        <w:rPr>
          <w:rFonts w:eastAsia="Times New Roman"/>
          <w:kern w:val="24"/>
          <w:lang w:eastAsia="de-DE"/>
        </w:rPr>
        <w:lastRenderedPageBreak/>
        <w:t>do të ushtrojnë drejtpërdrejt funksionin e magjistratit, por do të angazhohen pranë magjistratëve udhëheqës të caktuar për të ndjekur praktikën e tyre profesionale. Gjatë kësaj periudhe ata përfshihen sa më shumë të jetë e mundur në aspekte të punës së përditshme të magjistratëve, me pjesëmarrjen në seancat dëgjimore ose marrjen në pyetje, me përgatitjen dhe diskutimin e projektvendimeve etj. Do të ndiqet në vijimësi përgatitja e tyre gjatë praktikës duke plotësuar formularë</w:t>
      </w:r>
      <w:r>
        <w:rPr>
          <w:rFonts w:eastAsia="Times New Roman"/>
          <w:kern w:val="24"/>
          <w:lang w:eastAsia="de-DE"/>
        </w:rPr>
        <w:t>t e</w:t>
      </w:r>
      <w:r w:rsidRPr="00EE2DE7">
        <w:rPr>
          <w:rFonts w:eastAsia="Times New Roman"/>
          <w:kern w:val="24"/>
          <w:lang w:eastAsia="de-DE"/>
        </w:rPr>
        <w:t xml:space="preserve"> vlerësimi</w:t>
      </w:r>
      <w:r>
        <w:rPr>
          <w:rFonts w:eastAsia="Times New Roman"/>
          <w:kern w:val="24"/>
          <w:lang w:eastAsia="de-DE"/>
        </w:rPr>
        <w:t>t</w:t>
      </w:r>
      <w:r w:rsidRPr="00EE2DE7">
        <w:rPr>
          <w:rFonts w:eastAsia="Times New Roman"/>
          <w:kern w:val="24"/>
          <w:lang w:eastAsia="de-DE"/>
        </w:rPr>
        <w:t xml:space="preserve"> nga magjistratët udhëheqës përgjatë ndjekjes së</w:t>
      </w:r>
      <w:r>
        <w:rPr>
          <w:rFonts w:eastAsia="Times New Roman"/>
          <w:kern w:val="24"/>
          <w:lang w:eastAsia="de-DE"/>
        </w:rPr>
        <w:t xml:space="preserve"> tyre</w:t>
      </w:r>
      <w:r w:rsidRPr="00EE2DE7">
        <w:rPr>
          <w:rFonts w:eastAsia="Times New Roman"/>
          <w:kern w:val="24"/>
          <w:lang w:eastAsia="de-DE"/>
        </w:rPr>
        <w:t>. Qëllimi i këtyre vlerësimeve periodike është që të punohet me kandidatin aty ku ai ka mangësi.</w:t>
      </w:r>
    </w:p>
    <w:p w:rsidR="009F23E3" w:rsidRPr="00EE2DE7" w:rsidRDefault="009F23E3" w:rsidP="009F23E3">
      <w:pPr>
        <w:tabs>
          <w:tab w:val="left" w:pos="270"/>
        </w:tabs>
        <w:spacing w:line="276" w:lineRule="auto"/>
        <w:ind w:left="270"/>
        <w:jc w:val="both"/>
        <w:rPr>
          <w:rFonts w:eastAsia="Times New Roman"/>
          <w:kern w:val="24"/>
          <w:lang w:eastAsia="de-DE"/>
        </w:rPr>
      </w:pPr>
      <w:r w:rsidRPr="00EE2DE7">
        <w:rPr>
          <w:rFonts w:eastAsia="Times New Roman"/>
          <w:kern w:val="24"/>
          <w:lang w:eastAsia="de-DE"/>
        </w:rPr>
        <w:t>Gjithashtu, e rëndësishme është edhe procedura e vlerësimit nga kandidati për magjistrat i magjistratit udhëheqës. Formularët e vlerësimit për magjistratin udhëheqës nga kandidati për magjistrat do të plotësohen gjatë periudhës së praktikës.</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8.</w:t>
      </w:r>
      <w:r w:rsidRPr="00EE2DE7">
        <w:rPr>
          <w:rFonts w:eastAsia="Times New Roman"/>
          <w:kern w:val="24"/>
          <w:lang w:eastAsia="de-DE"/>
        </w:rPr>
        <w:t xml:space="preserve"> Detyrimi për ndjekjen e seminareve të Trajnimit Vazhdues nga kandidatët që ndjekin vitin e tretë të Shkollës, përmes një programi të specifikuar për ta, jo vetëm kundrejt zgjedhjes së temave të seminareve prej tyre, por edhe përzgjedhjes së temave të detyrueshme për t'u ndjekur nga Shkolla, meqenëse viti i tyre i praktikës aktive është jo vetëm një vit prove, por edhe një vit formimi.</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9.</w:t>
      </w:r>
      <w:r w:rsidRPr="00EE2DE7">
        <w:rPr>
          <w:rFonts w:eastAsia="Times New Roman"/>
          <w:kern w:val="24"/>
          <w:lang w:eastAsia="de-DE"/>
        </w:rPr>
        <w:t xml:space="preserve"> Aktivizimi i trajnerëve në Shkollë qoftë për Trajnimin Fillestar, qoftë për Trajnimin Vazhdues, realizohet pasi konkurrohet me dokumentacion prej tyre, në përputhje me kërkesat e ligjit dhe </w:t>
      </w:r>
      <w:r>
        <w:rPr>
          <w:rFonts w:eastAsia="Times New Roman"/>
          <w:kern w:val="24"/>
          <w:lang w:eastAsia="de-DE"/>
        </w:rPr>
        <w:t>R</w:t>
      </w:r>
      <w:r w:rsidRPr="00EE2DE7">
        <w:rPr>
          <w:rFonts w:eastAsia="Times New Roman"/>
          <w:kern w:val="24"/>
          <w:lang w:eastAsia="de-DE"/>
        </w:rPr>
        <w:t>regulloren e Shkollës së Magjistraturës. Prioritet do të jetë përthithja e pedagogëve të huaj, të spikatur në fushat me prioritet për Shkollën, nga Universitete të E</w:t>
      </w:r>
      <w:r>
        <w:rPr>
          <w:rFonts w:eastAsia="Times New Roman"/>
          <w:kern w:val="24"/>
          <w:lang w:eastAsia="de-DE"/>
        </w:rPr>
        <w:t>u</w:t>
      </w:r>
      <w:r w:rsidRPr="00EE2DE7">
        <w:rPr>
          <w:rFonts w:eastAsia="Times New Roman"/>
          <w:kern w:val="24"/>
          <w:lang w:eastAsia="de-DE"/>
        </w:rPr>
        <w:t xml:space="preserve">ropës Perëndimore për të dhënë mësim në lëndë që gjykohen si më thelbësoret, apo aty ku ekspertët shqiptarë </w:t>
      </w:r>
      <w:r>
        <w:rPr>
          <w:rFonts w:eastAsia="Times New Roman"/>
          <w:kern w:val="24"/>
          <w:lang w:eastAsia="de-DE"/>
        </w:rPr>
        <w:t>janë të paktë</w:t>
      </w:r>
      <w:r w:rsidRPr="00EE2DE7">
        <w:rPr>
          <w:rFonts w:eastAsia="Times New Roman"/>
          <w:kern w:val="24"/>
          <w:lang w:eastAsia="de-DE"/>
        </w:rPr>
        <w:t>.</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10.</w:t>
      </w:r>
      <w:r w:rsidRPr="00EE2DE7">
        <w:rPr>
          <w:rFonts w:eastAsia="Times New Roman"/>
          <w:kern w:val="24"/>
          <w:lang w:eastAsia="de-DE"/>
        </w:rPr>
        <w:t xml:space="preserve"> Hartimi i një programi për trajnim trajnerësh, jo vetëm për trajnerët ekzistues, por edhe për çdo trajner të ri, që futet rishtaz</w:t>
      </w:r>
      <w:r>
        <w:rPr>
          <w:rFonts w:eastAsia="Times New Roman"/>
          <w:kern w:val="24"/>
          <w:lang w:eastAsia="de-DE"/>
        </w:rPr>
        <w:t>i</w:t>
      </w:r>
      <w:r w:rsidRPr="00EE2DE7">
        <w:rPr>
          <w:rFonts w:eastAsia="Times New Roman"/>
          <w:kern w:val="24"/>
          <w:lang w:eastAsia="de-DE"/>
        </w:rPr>
        <w:t xml:space="preserve"> në Shkollë, para se të fillojë nga puna, me qëllim unifikimin e metodave të mësimdhënies, duke ruajtur parimet e pavarësisë akademike. Gjithashtu, do të parashikohen trajnime të veçanta për gjyqtarët dhe prokurorët që do të jenë udhëheqës të stazhit të magjistratëve. </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11.</w:t>
      </w:r>
      <w:r w:rsidRPr="00EE2DE7">
        <w:rPr>
          <w:rFonts w:eastAsia="Times New Roman"/>
          <w:kern w:val="24"/>
          <w:lang w:eastAsia="de-DE"/>
        </w:rPr>
        <w:t xml:space="preserve"> Shkolla do të vendosë në dispozicion materiale, artikuj, publikime, do të zhvillojë seminare dhe trajnime dhe do të angazhohet në trajnimin e trajnerëve në mënyrë që të plotësohen e pasurohen njohuritë për çështjet e mëposhtme: institucionet e Bashkimit E</w:t>
      </w:r>
      <w:r>
        <w:rPr>
          <w:rFonts w:eastAsia="Times New Roman"/>
          <w:kern w:val="24"/>
          <w:lang w:eastAsia="de-DE"/>
        </w:rPr>
        <w:t>u</w:t>
      </w:r>
      <w:r w:rsidRPr="00EE2DE7">
        <w:rPr>
          <w:rFonts w:eastAsia="Times New Roman"/>
          <w:kern w:val="24"/>
          <w:lang w:eastAsia="de-DE"/>
        </w:rPr>
        <w:t>ropian dhe burimet ligjore të tij; marrëdhëniet e jashtme të BE-së dhe Planit Kombëtar të Integrimit E</w:t>
      </w:r>
      <w:r>
        <w:rPr>
          <w:rFonts w:eastAsia="Times New Roman"/>
          <w:kern w:val="24"/>
          <w:lang w:eastAsia="de-DE"/>
        </w:rPr>
        <w:t>u</w:t>
      </w:r>
      <w:r w:rsidRPr="00EE2DE7">
        <w:rPr>
          <w:rFonts w:eastAsia="Times New Roman"/>
          <w:kern w:val="24"/>
          <w:lang w:eastAsia="de-DE"/>
        </w:rPr>
        <w:t xml:space="preserve">ropian, funksionet kryesore dhe përbërja e Gjykatës së Drejtësisë; mbrojtja e të drejtave themelore në sistemin ligjor të BE-së; njohja dhe ekzekutimi i vendimeve në vendet e BE-së; dhe e drejta e krijimit të shoqërive dhe profesioneve. </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12.</w:t>
      </w:r>
      <w:r w:rsidRPr="00EE2DE7">
        <w:rPr>
          <w:rFonts w:eastAsia="Times New Roman"/>
          <w:kern w:val="24"/>
          <w:lang w:eastAsia="de-DE"/>
        </w:rPr>
        <w:t xml:space="preserve"> Gjatë kësaj periudhe, do të planifikojmë të identifikojmë nevojat për kurse të reja në fusha të tjera, paralelisht me forcimin e kurseve aktuale. Kurset mund të zhvillohen në lidhje me rritjen e njohurive të gjyqtarëve dhe prokurorëve për efekte e faktorë shoqërorë, në rritjen e përgjegjshmërisë sociale të gjyqtarëve dhe prokurorëve.</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13.</w:t>
      </w:r>
      <w:r w:rsidRPr="00EE2DE7">
        <w:rPr>
          <w:rFonts w:eastAsia="Times New Roman"/>
          <w:kern w:val="24"/>
          <w:lang w:eastAsia="de-DE"/>
        </w:rPr>
        <w:t xml:space="preserve"> Përsa i përket trajnimit praktik, prioriteti ynë është të garantojmë që të trajnuarit të arrijnë nivelin më të lartë të kompetencës në lidhje me natyrën e funksionit të tyre të ardhshëm. Për këtë, Shkolla ka për qëllim ta drejtojë trajnimin drejt praktikave profesionale me qëllim që t’i aftësojë magjistratët e ardhshëm në mënyrë që ata të </w:t>
      </w:r>
      <w:r w:rsidRPr="00EE2DE7">
        <w:rPr>
          <w:rFonts w:eastAsia="Times New Roman"/>
          <w:kern w:val="24"/>
          <w:lang w:eastAsia="de-DE"/>
        </w:rPr>
        <w:lastRenderedPageBreak/>
        <w:t>kryejnë detyrat dhe të zhvillojnë aktivitetet profesionale.</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14.</w:t>
      </w:r>
      <w:r w:rsidRPr="00EE2DE7">
        <w:rPr>
          <w:rFonts w:eastAsia="Times New Roman"/>
          <w:kern w:val="24"/>
          <w:lang w:eastAsia="de-DE"/>
        </w:rPr>
        <w:t xml:space="preserve"> Përmirësimin e komunikimit ndërmjet kandidatëve për magjistratë të të tre viteve (si edhe të të diplomuarve) dhe për këtë qëllim të krijohet një forum diskutimi nëpërmjet faqes sonë të Internetit, në të cilin do të marrin pjesë të gjithë.</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15.</w:t>
      </w:r>
      <w:r w:rsidRPr="00EE2DE7">
        <w:rPr>
          <w:rFonts w:eastAsia="Times New Roman"/>
          <w:kern w:val="24"/>
          <w:lang w:eastAsia="de-DE"/>
        </w:rPr>
        <w:t xml:space="preserve"> Përmirësimin dhe zhvillimin e marrëdhënies me median, jo vetëm për të pasqyruar aktivitetet e Shkollës në funksion të parimit të transparencës dhe informimit, por edhe për të rritur interesin dhe për të forcuar besimin e publikut për Shkollën e Magjistraturës.</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16.</w:t>
      </w:r>
      <w:r w:rsidRPr="00EE2DE7">
        <w:rPr>
          <w:rFonts w:eastAsia="Times New Roman"/>
          <w:kern w:val="24"/>
          <w:lang w:eastAsia="de-DE"/>
        </w:rPr>
        <w:t xml:space="preserve"> Duke njohur rëndësinë kyçe të bashkëpunimit </w:t>
      </w:r>
      <w:r w:rsidRPr="008050D4">
        <w:rPr>
          <w:rFonts w:eastAsia="Times New Roman"/>
          <w:kern w:val="24"/>
          <w:lang w:eastAsia="de-DE"/>
        </w:rPr>
        <w:t>me Këshillin e Lartë të Drejtësisë dhe Prokurorinë e Përgjithshme,</w:t>
      </w:r>
      <w:r w:rsidRPr="00EE2DE7">
        <w:rPr>
          <w:rFonts w:eastAsia="Times New Roman"/>
          <w:kern w:val="24"/>
          <w:lang w:eastAsia="de-DE"/>
        </w:rPr>
        <w:t xml:space="preserve"> në përmbushjen e nevojave të gjyqtarëve dhe prokurorëve për Formimin Fillestar, Shkolla do të vijojë bashkëpunimin me këto organe deri në krijimin e organeve të reja, KLGJ dhe KLP. Me krijimin e KLGJ-së dhe KLP-së, pritet të përgatitet një studim, i cili të japë një analizë të hollësishme për të ardhmen, lidhur me dy drejtime:</w:t>
      </w:r>
    </w:p>
    <w:p w:rsidR="009F23E3" w:rsidRPr="00EE2DE7" w:rsidRDefault="009F23E3" w:rsidP="009F23E3">
      <w:pPr>
        <w:numPr>
          <w:ilvl w:val="0"/>
          <w:numId w:val="46"/>
        </w:numPr>
        <w:tabs>
          <w:tab w:val="left" w:pos="270"/>
        </w:tabs>
        <w:spacing w:line="276" w:lineRule="auto"/>
        <w:jc w:val="both"/>
        <w:rPr>
          <w:rFonts w:eastAsia="Times New Roman"/>
          <w:kern w:val="24"/>
          <w:lang w:eastAsia="de-DE"/>
        </w:rPr>
      </w:pPr>
      <w:r w:rsidRPr="00EE2DE7">
        <w:rPr>
          <w:rFonts w:eastAsia="Times New Roman"/>
          <w:kern w:val="24"/>
        </w:rPr>
        <w:t>së pari, lidhur me vendet vakante dhe nevojat e gjyqësorit dhe prokurorisë për gjyqtarë e prokurorë të rinj, për të parë se si do të riorganizohen gjykatat dhe strukturat e tyre, sa vetë dalin në pension, sa transferohen n</w:t>
      </w:r>
      <w:r>
        <w:rPr>
          <w:rFonts w:eastAsia="Times New Roman"/>
          <w:kern w:val="24"/>
        </w:rPr>
        <w:t>ë fusha të tjera, sa shkarkohen</w:t>
      </w:r>
      <w:r w:rsidRPr="00EE2DE7">
        <w:rPr>
          <w:rFonts w:eastAsia="Times New Roman"/>
          <w:kern w:val="24"/>
        </w:rPr>
        <w:t xml:space="preserve"> e të tjera</w:t>
      </w:r>
      <w:r>
        <w:rPr>
          <w:rFonts w:eastAsia="Times New Roman"/>
          <w:kern w:val="24"/>
        </w:rPr>
        <w:t>, dhe</w:t>
      </w:r>
      <w:r w:rsidRPr="00EE2DE7">
        <w:rPr>
          <w:rFonts w:eastAsia="Times New Roman"/>
          <w:kern w:val="24"/>
        </w:rPr>
        <w:t xml:space="preserve"> </w:t>
      </w:r>
    </w:p>
    <w:p w:rsidR="009F23E3" w:rsidRPr="00EE2DE7" w:rsidRDefault="009F23E3" w:rsidP="009F23E3">
      <w:pPr>
        <w:numPr>
          <w:ilvl w:val="0"/>
          <w:numId w:val="46"/>
        </w:numPr>
        <w:tabs>
          <w:tab w:val="left" w:pos="270"/>
        </w:tabs>
        <w:spacing w:line="276" w:lineRule="auto"/>
        <w:jc w:val="both"/>
        <w:rPr>
          <w:rFonts w:eastAsia="Times New Roman"/>
          <w:kern w:val="24"/>
          <w:lang w:eastAsia="de-DE"/>
        </w:rPr>
      </w:pPr>
      <w:r w:rsidRPr="00EE2DE7">
        <w:rPr>
          <w:rFonts w:eastAsia="Times New Roman"/>
          <w:kern w:val="24"/>
        </w:rPr>
        <w:t xml:space="preserve">së dyti, lidhur me parashikimin dhe vlerësimin e kritereve praktike të rekrutimit të tyre, mbështetur në eksperiencën e këtyre viteve, me qëllim që të ecet me një program të qartë, (meqenëse varet shumë shikimi strategjik i Shkollës në varësi të faktit) nëse për një periudhë ajo do të </w:t>
      </w:r>
      <w:r w:rsidRPr="00EE2DE7">
        <w:rPr>
          <w:rFonts w:eastAsia="Times New Roman"/>
          <w:kern w:val="24"/>
        </w:rPr>
        <w:t xml:space="preserve">përqendrohet te Formimi Fillestar, apo do të përqendrohet te Trajnimi Vazhdues dhe botimet e studimet. </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17.</w:t>
      </w:r>
      <w:r w:rsidRPr="00EE2DE7">
        <w:rPr>
          <w:rFonts w:eastAsia="Times New Roman"/>
          <w:kern w:val="24"/>
          <w:lang w:eastAsia="de-DE"/>
        </w:rPr>
        <w:t xml:space="preserve"> Do të rishikojmë çështje të ndryshme që lidhen me vlerësimin e kandidatëve për magjistratë, duke filluar me mënyrën e zhvillimit të konkursit të pranimit, duke u përpjekur që të bëjmë unifikimin e mënyrës së kontrollit të dijeve, me qëllim realizimin e një konkursi sa më të drejtë e të ndershëm, njësoj për të gjithë kandidatët. Për këtë qëllim, gjatë vitit 2018-2019 do të rishikohet dhe do të studiohet programi i provimit të pranimit, për të dy fazat e tij (</w:t>
      </w:r>
      <w:r w:rsidRPr="008050D4">
        <w:rPr>
          <w:rFonts w:eastAsia="Times New Roman"/>
          <w:i/>
          <w:kern w:val="24"/>
          <w:lang w:eastAsia="de-DE"/>
        </w:rPr>
        <w:t>scan-tron</w:t>
      </w:r>
      <w:r w:rsidRPr="00EE2DE7">
        <w:rPr>
          <w:rFonts w:eastAsia="Times New Roman"/>
          <w:kern w:val="24"/>
          <w:lang w:eastAsia="de-DE"/>
        </w:rPr>
        <w:t xml:space="preserve"> dhe testi profesional), do të standardizohet testi i shëndetit mendor dhe psikologjik, i cili është pjesë e procesit të rekrutimit të kandidatëve për magjistratë. Duhet të shkojmë drejt një provimi pranimi ku evidentohet aftësia logjike dhe interpretative e konkurrentit, duke synuar përthithjen e prurjeve më të mira për kandidatët për magjistratë.</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18.</w:t>
      </w:r>
      <w:r w:rsidRPr="00EE2DE7">
        <w:rPr>
          <w:rFonts w:eastAsia="Times New Roman"/>
          <w:kern w:val="24"/>
          <w:lang w:eastAsia="de-DE"/>
        </w:rPr>
        <w:t xml:space="preserve"> Përmirësimin e praktikave për realizmin e provimit përfundimtar të vitit të dytë, i cili zhvillohet në përfundim të ciklit teorik dhe praktiko-teorik të studimeve, për ta bërë vlerësimin përfundimtar, sa më të dobishëm dhe në funksion të klasifikimit të kandidatëve.</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19.</w:t>
      </w:r>
      <w:r w:rsidRPr="00EE2DE7">
        <w:rPr>
          <w:rFonts w:eastAsia="Times New Roman"/>
          <w:kern w:val="24"/>
          <w:lang w:eastAsia="de-DE"/>
        </w:rPr>
        <w:t xml:space="preserve"> Realizimin e procesit të trajnimit teorik të kandidatëve për magjistratë të vitit të parë, për shkak edhe të specifikës së tyre si subjekte të rivlerësimit </w:t>
      </w:r>
      <w:r w:rsidRPr="00EE2DE7">
        <w:rPr>
          <w:rFonts w:eastAsia="Times New Roman"/>
          <w:i/>
          <w:kern w:val="24"/>
          <w:lang w:eastAsia="de-DE"/>
        </w:rPr>
        <w:t>ex officio</w:t>
      </w:r>
      <w:r w:rsidRPr="00EE2DE7">
        <w:rPr>
          <w:rFonts w:eastAsia="Times New Roman"/>
          <w:kern w:val="24"/>
          <w:lang w:eastAsia="de-DE"/>
        </w:rPr>
        <w:t xml:space="preserve"> dhe realizimin e vlerësimit të tyre, duke zhvilluar provimin përfundimtar në përfundim të vitit të parë teorik.</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20.</w:t>
      </w:r>
      <w:r w:rsidRPr="00EE2DE7">
        <w:rPr>
          <w:rFonts w:eastAsia="Times New Roman"/>
          <w:kern w:val="24"/>
          <w:lang w:eastAsia="de-DE"/>
        </w:rPr>
        <w:t xml:space="preserve"> Përgatitjen e një projektplani për vitin e dytë të trajnimit të tyre gjatë praktikës së tyre profesionale, sipas parashikimeve të nenit 165/7 të ligjit </w:t>
      </w:r>
      <w:r>
        <w:rPr>
          <w:rFonts w:eastAsia="Times New Roman"/>
          <w:kern w:val="24"/>
          <w:lang w:eastAsia="de-DE"/>
        </w:rPr>
        <w:t xml:space="preserve">nr. </w:t>
      </w:r>
      <w:r w:rsidRPr="00EE2DE7">
        <w:rPr>
          <w:rFonts w:eastAsia="Times New Roman"/>
          <w:kern w:val="24"/>
          <w:lang w:eastAsia="de-DE"/>
        </w:rPr>
        <w:t>96/2016</w:t>
      </w:r>
      <w:r>
        <w:rPr>
          <w:rFonts w:eastAsia="Times New Roman"/>
          <w:kern w:val="24"/>
          <w:lang w:eastAsia="de-DE"/>
        </w:rPr>
        <w:t>,</w:t>
      </w:r>
      <w:r w:rsidRPr="00EE2DE7">
        <w:rPr>
          <w:rFonts w:eastAsia="Times New Roman"/>
          <w:kern w:val="24"/>
          <w:lang w:eastAsia="de-DE"/>
        </w:rPr>
        <w:t xml:space="preserve"> “</w:t>
      </w:r>
      <w:r w:rsidRPr="00EE2DE7">
        <w:rPr>
          <w:rFonts w:eastAsia="Calibri"/>
          <w:i/>
          <w:kern w:val="24"/>
        </w:rPr>
        <w:t xml:space="preserve">Shkolla e Magjistraturës miraton rregullat për </w:t>
      </w:r>
      <w:r w:rsidRPr="00EE2DE7">
        <w:rPr>
          <w:rFonts w:eastAsia="Calibri"/>
          <w:i/>
          <w:kern w:val="24"/>
        </w:rPr>
        <w:lastRenderedPageBreak/>
        <w:t>procedurën dhe kushtet për pjesëmarrj</w:t>
      </w:r>
      <w:r>
        <w:rPr>
          <w:rFonts w:eastAsia="Calibri"/>
          <w:i/>
          <w:kern w:val="24"/>
        </w:rPr>
        <w:t>en në provimin përfundimtar, ku</w:t>
      </w:r>
      <w:r w:rsidRPr="00EE2DE7">
        <w:rPr>
          <w:rFonts w:eastAsia="Calibri"/>
          <w:i/>
          <w:kern w:val="24"/>
        </w:rPr>
        <w:t>rikulën dhe pjesëmarrjen në kurset e trajnimit.</w:t>
      </w:r>
      <w:r w:rsidRPr="00EE2DE7">
        <w:rPr>
          <w:rFonts w:eastAsia="Times New Roman"/>
          <w:kern w:val="24"/>
          <w:lang w:eastAsia="de-DE"/>
        </w:rPr>
        <w:t>”</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21.</w:t>
      </w:r>
      <w:r w:rsidRPr="00EE2DE7">
        <w:rPr>
          <w:rFonts w:eastAsia="Times New Roman"/>
          <w:kern w:val="24"/>
          <w:lang w:eastAsia="de-DE"/>
        </w:rPr>
        <w:t xml:space="preserve"> Drejtimi i formimit në fushën e mprehjes së aftësive profesionale dhe etikës do të vazhdojë të mbetet i rëndësishëm</w:t>
      </w:r>
      <w:r w:rsidRPr="00EE2DE7">
        <w:rPr>
          <w:rFonts w:eastAsia="Calibri"/>
          <w:kern w:val="24"/>
        </w:rPr>
        <w:t>.</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22.</w:t>
      </w:r>
      <w:r w:rsidRPr="00EE2DE7">
        <w:rPr>
          <w:rFonts w:eastAsia="Times New Roman"/>
          <w:kern w:val="24"/>
          <w:lang w:eastAsia="de-DE"/>
        </w:rPr>
        <w:t xml:space="preserve"> Kontaktimi me ekspertët nga nivele akademike dhe nga praktika gjyqësore lidhur me përgatitjen e materialeve didaktike për kurset e reja që do t’i shtohen programit mësimor për vitin e ardhshëm akademik.</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23.</w:t>
      </w:r>
      <w:r w:rsidRPr="008050D4">
        <w:rPr>
          <w:rFonts w:eastAsia="Times New Roman"/>
          <w:b/>
          <w:kern w:val="24"/>
          <w:lang w:eastAsia="de-DE"/>
        </w:rPr>
        <w:t xml:space="preserve"> </w:t>
      </w:r>
      <w:r w:rsidRPr="00EE2DE7">
        <w:rPr>
          <w:rFonts w:eastAsia="Times New Roman"/>
          <w:kern w:val="24"/>
          <w:lang w:eastAsia="de-DE"/>
        </w:rPr>
        <w:t>Shtimi i numrit të pedagogëve të brendshëm për ndjekjen e praktikës mësimdhënëse të kandidatëve gjatë vitit të dytë dhe të tretë, por edhe për realizimin e programeve të reja akademike, si rrjedhojë e detyrimeve që sjell reforma në drejtësi.</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24.</w:t>
      </w:r>
      <w:r w:rsidRPr="008050D4">
        <w:rPr>
          <w:rFonts w:eastAsia="Times New Roman"/>
          <w:b/>
          <w:kern w:val="24"/>
          <w:lang w:eastAsia="de-DE"/>
        </w:rPr>
        <w:t xml:space="preserve"> </w:t>
      </w:r>
      <w:r w:rsidRPr="00EE2DE7">
        <w:rPr>
          <w:rFonts w:eastAsia="Times New Roman"/>
          <w:kern w:val="24"/>
          <w:lang w:eastAsia="de-DE"/>
        </w:rPr>
        <w:t>Vizita studimore për studentët e vitit të parë dhe të dytë që ndjekin Programin e Formimit Fillestar në gjykatat e Strasburgut dhe Luksemburgut.</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25.</w:t>
      </w:r>
      <w:r w:rsidRPr="008050D4">
        <w:rPr>
          <w:rFonts w:eastAsia="Times New Roman"/>
          <w:b/>
          <w:kern w:val="24"/>
          <w:lang w:eastAsia="de-DE"/>
        </w:rPr>
        <w:t xml:space="preserve"> </w:t>
      </w:r>
      <w:r w:rsidRPr="00EE2DE7">
        <w:rPr>
          <w:rFonts w:eastAsia="Times New Roman"/>
          <w:kern w:val="24"/>
          <w:lang w:eastAsia="de-DE"/>
        </w:rPr>
        <w:t>Praktikë (intership) për kandidatët për magjistratë me rezultate të larta të vitit të tretë në gjykatat e vendeve të BE-së.</w:t>
      </w:r>
    </w:p>
    <w:p w:rsidR="009F23E3" w:rsidRPr="00EE2DE7"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26.</w:t>
      </w:r>
      <w:r w:rsidRPr="00EE2DE7">
        <w:rPr>
          <w:rFonts w:eastAsia="Times New Roman"/>
          <w:kern w:val="24"/>
          <w:lang w:eastAsia="de-DE"/>
        </w:rPr>
        <w:t xml:space="preserve"> Asistencë me profesorë /lektorë ndërkombëtarë në Programin e Formimit Fillestar.</w:t>
      </w:r>
    </w:p>
    <w:p w:rsidR="009F23E3" w:rsidRDefault="009F23E3" w:rsidP="009F23E3">
      <w:pPr>
        <w:tabs>
          <w:tab w:val="left" w:pos="270"/>
        </w:tabs>
        <w:spacing w:line="276" w:lineRule="auto"/>
        <w:ind w:left="270"/>
        <w:jc w:val="both"/>
        <w:rPr>
          <w:rFonts w:eastAsia="Times New Roman"/>
          <w:kern w:val="24"/>
          <w:lang w:eastAsia="de-DE"/>
        </w:rPr>
      </w:pPr>
      <w:r>
        <w:rPr>
          <w:rFonts w:eastAsia="Times New Roman"/>
          <w:b/>
          <w:kern w:val="24"/>
          <w:lang w:eastAsia="de-DE"/>
        </w:rPr>
        <w:tab/>
      </w:r>
      <w:r w:rsidRPr="007D1F0E">
        <w:rPr>
          <w:rFonts w:eastAsia="Times New Roman"/>
          <w:kern w:val="24"/>
          <w:lang w:eastAsia="de-DE"/>
        </w:rPr>
        <w:t>27.</w:t>
      </w:r>
      <w:r w:rsidRPr="00EE2DE7">
        <w:rPr>
          <w:rFonts w:eastAsia="Times New Roman"/>
          <w:kern w:val="24"/>
          <w:lang w:eastAsia="de-DE"/>
        </w:rPr>
        <w:t xml:space="preserve"> Përmirësimi në vazhdimësi i punës kërkimore shkencore nëpërmjet Klinikës Ligjore dhe Kërkimore me qëllim ndërgjegjësimin e kandidatëve për magjistratë për çështje të tilla, si: motivimi, argumentimi, transparenca dhe shteti i së drejtës. Duke bërë punë kërkimore ligjore krahasuese të gjerë dhe veçanërisht për çështjet e të drejtave të njeriut që janë pezull përpara institucioneve të drejtësisë, brezi i ri i gjyqtarëve dhe prokurorëve do të prezantohet me një kulturë të re të argumentimit dhe motivimit ligjor. Për rrjedhojë, është e pritshme që kandidatët për magjistratë të fusin këtë kulturë në gjykatat </w:t>
      </w:r>
      <w:r w:rsidRPr="00EE2DE7">
        <w:rPr>
          <w:rFonts w:eastAsia="Times New Roman"/>
          <w:kern w:val="24"/>
          <w:lang w:eastAsia="de-DE"/>
        </w:rPr>
        <w:t xml:space="preserve">dhe prokuroritë ku do të punojnë në të ardhmen. Krahas kësaj, kjo Klinikë do të ketë një ndikim pozitiv në cilësinë – përsa i përket motivimit dhe argumentimit – e institucioneve kyç të sistemit gjyqësor në vendin tonë. Ky ndikim pozitiv do të jetë rezultat jo vetëm i konsulencës që do të marrin institucionet nga kandidatët për magjistratë, por edhe nga trajnimi që do të ketë stafi mbështetës i këtyre institucioneve gjatë kohës së projektit. Ky kurs do të kontribuojë në konsolidimin e profilit të Shkollës si një institucion kyç në edukimin ligjor, që kombinon edukimin profesional me kërkimin akademik. </w:t>
      </w:r>
    </w:p>
    <w:p w:rsidR="009F23E3" w:rsidRPr="009F23E3" w:rsidRDefault="009F23E3" w:rsidP="009F23E3">
      <w:pPr>
        <w:tabs>
          <w:tab w:val="left" w:pos="270"/>
        </w:tabs>
        <w:spacing w:line="276" w:lineRule="auto"/>
        <w:ind w:left="270"/>
        <w:jc w:val="both"/>
        <w:rPr>
          <w:rFonts w:eastAsia="Times New Roman"/>
          <w:kern w:val="24"/>
          <w:lang w:eastAsia="de-DE"/>
        </w:rPr>
      </w:pPr>
    </w:p>
    <w:p w:rsidR="009F23E3" w:rsidRPr="009F23E3" w:rsidRDefault="009F23E3" w:rsidP="009F23E3">
      <w:pPr>
        <w:spacing w:line="276" w:lineRule="auto"/>
        <w:jc w:val="both"/>
        <w:rPr>
          <w:b/>
          <w:noProof/>
          <w:color w:val="CC9966" w:themeColor="accent2"/>
          <w:sz w:val="32"/>
          <w:lang w:eastAsia="en-US"/>
        </w:rPr>
      </w:pPr>
      <w:r w:rsidRPr="009F23E3">
        <w:rPr>
          <w:b/>
          <w:noProof/>
          <w:color w:val="CC9966" w:themeColor="accent2"/>
          <w:sz w:val="32"/>
          <w:lang w:eastAsia="en-US"/>
        </w:rPr>
        <w:t>6.2</w:t>
      </w:r>
      <w:r>
        <w:rPr>
          <w:b/>
          <w:noProof/>
          <w:color w:val="CC9966" w:themeColor="accent2"/>
          <w:sz w:val="32"/>
          <w:lang w:eastAsia="en-US"/>
        </w:rPr>
        <w:t>.</w:t>
      </w:r>
      <w:r w:rsidRPr="009F23E3">
        <w:rPr>
          <w:b/>
          <w:noProof/>
          <w:color w:val="CC9966" w:themeColor="accent2"/>
          <w:sz w:val="32"/>
          <w:lang w:eastAsia="en-US"/>
        </w:rPr>
        <w:t xml:space="preserve"> Trajnimi Vazhdues </w:t>
      </w:r>
    </w:p>
    <w:p w:rsidR="009F23E3" w:rsidRPr="00EE2DE7" w:rsidRDefault="009F23E3" w:rsidP="009F23E3">
      <w:pPr>
        <w:spacing w:before="240" w:after="80" w:line="276" w:lineRule="auto"/>
        <w:contextualSpacing/>
        <w:outlineLvl w:val="1"/>
        <w:rPr>
          <w:rFonts w:ascii="Cambria" w:eastAsia="Calibri" w:hAnsi="Cambria"/>
          <w:b/>
          <w:color w:val="244061"/>
          <w:spacing w:val="20"/>
          <w:kern w:val="24"/>
          <w:sz w:val="12"/>
          <w:szCs w:val="28"/>
        </w:rPr>
      </w:pPr>
    </w:p>
    <w:p w:rsidR="009F23E3" w:rsidRPr="007C25A6" w:rsidRDefault="009F23E3" w:rsidP="007C25A6">
      <w:pPr>
        <w:jc w:val="both"/>
        <w:rPr>
          <w:b/>
          <w:noProof/>
          <w:color w:val="CC9966" w:themeColor="accent2"/>
          <w:lang w:eastAsia="en-US"/>
        </w:rPr>
      </w:pPr>
      <w:r w:rsidRPr="009F23E3">
        <w:rPr>
          <w:b/>
          <w:noProof/>
          <w:color w:val="CC9966" w:themeColor="accent2"/>
          <w:lang w:eastAsia="en-US"/>
        </w:rPr>
        <w:t>Objektivat për periudhën 2018-2019</w:t>
      </w:r>
    </w:p>
    <w:p w:rsidR="009F23E3" w:rsidRPr="00EE2DE7" w:rsidRDefault="009F23E3" w:rsidP="009F23E3">
      <w:pPr>
        <w:spacing w:line="276" w:lineRule="auto"/>
        <w:ind w:firstLine="720"/>
        <w:jc w:val="both"/>
        <w:rPr>
          <w:rFonts w:eastAsia="Calibri"/>
          <w:kern w:val="24"/>
        </w:rPr>
      </w:pPr>
      <w:r w:rsidRPr="00EE2DE7">
        <w:rPr>
          <w:rFonts w:eastAsia="Calibri"/>
          <w:kern w:val="24"/>
        </w:rPr>
        <w:t>Viti akademik 2018-2019 është në vazhdim të zbatimit të programit trevjeçar të Formimit Vazhdues, por njëkohësisht, i ndikuar edhe nga ndryshimet më të fundit të ndodhura në legjislacion. Përme</w:t>
      </w:r>
      <w:r>
        <w:rPr>
          <w:rFonts w:eastAsia="Calibri"/>
          <w:kern w:val="24"/>
        </w:rPr>
        <w:t>ndim se gjatë gjithë këtij viti</w:t>
      </w:r>
      <w:r w:rsidRPr="00EE2DE7">
        <w:rPr>
          <w:rFonts w:eastAsia="Calibri"/>
          <w:kern w:val="24"/>
        </w:rPr>
        <w:t xml:space="preserve"> ishte prioritet strukturimi dhe zbatimi i koordinuar i këtij programi për gjyqtarë e prokurorë si edhe implementimi dhe përshtatja me parashikimet në legjislacion.</w:t>
      </w:r>
    </w:p>
    <w:p w:rsidR="009F23E3" w:rsidRPr="00EE2DE7" w:rsidRDefault="009F23E3" w:rsidP="009F23E3">
      <w:pPr>
        <w:spacing w:line="276" w:lineRule="auto"/>
        <w:ind w:firstLine="720"/>
        <w:jc w:val="both"/>
        <w:rPr>
          <w:rFonts w:eastAsia="Calibri"/>
          <w:bCs/>
          <w:kern w:val="24"/>
        </w:rPr>
      </w:pPr>
      <w:r w:rsidRPr="00EE2DE7">
        <w:rPr>
          <w:rFonts w:eastAsia="Calibri"/>
          <w:kern w:val="24"/>
        </w:rPr>
        <w:t xml:space="preserve">Kështu, lidhur me prioritetet </w:t>
      </w:r>
      <w:r w:rsidRPr="00EE2DE7">
        <w:rPr>
          <w:rFonts w:eastAsia="Calibri"/>
          <w:bCs/>
          <w:kern w:val="24"/>
        </w:rPr>
        <w:t>afatshkurtra dhe afatmesme të parashikuara në planin strategjik të Shkollës së Magjistraturës ky program u fokusua në:</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 xml:space="preserve">Përmirësimin e sistemit të mbajtjes së të dhënave lidhur me aspekte të ndryshme të komponentëve të Trajnimit Vazhdues të tilla, si: listat e pjesëmarrësve, ditët e trajnimit mbi baza vjetore dhe 5-vjeçare, tematika, certifikimi, aplikimi </w:t>
      </w:r>
      <w:r w:rsidRPr="00EE2DE7">
        <w:rPr>
          <w:rFonts w:eastAsia="Times New Roman"/>
          <w:i/>
          <w:kern w:val="24"/>
          <w:lang w:eastAsia="en-GB"/>
        </w:rPr>
        <w:t>on line</w:t>
      </w:r>
      <w:r w:rsidRPr="00EE2DE7">
        <w:rPr>
          <w:rFonts w:eastAsia="Times New Roman"/>
          <w:kern w:val="24"/>
          <w:lang w:eastAsia="en-GB"/>
        </w:rPr>
        <w:t xml:space="preserve"> etj. </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Përmirësimi</w:t>
      </w:r>
      <w:r>
        <w:rPr>
          <w:rFonts w:eastAsia="Times New Roman"/>
          <w:kern w:val="24"/>
          <w:lang w:eastAsia="en-GB"/>
        </w:rPr>
        <w:t xml:space="preserve">n vazhdues të </w:t>
      </w:r>
      <w:r w:rsidRPr="00EE2DE7">
        <w:rPr>
          <w:rFonts w:eastAsia="Times New Roman"/>
          <w:kern w:val="24"/>
          <w:lang w:eastAsia="en-GB"/>
        </w:rPr>
        <w:t>metodologjisë së vlerësimit të nevojave për trajnim dhe përmirësimi</w:t>
      </w:r>
      <w:r>
        <w:rPr>
          <w:rFonts w:eastAsia="Times New Roman"/>
          <w:kern w:val="24"/>
          <w:lang w:eastAsia="en-GB"/>
        </w:rPr>
        <w:t>n e</w:t>
      </w:r>
      <w:r w:rsidRPr="00EE2DE7">
        <w:rPr>
          <w:rFonts w:eastAsia="Times New Roman"/>
          <w:kern w:val="24"/>
          <w:lang w:eastAsia="en-GB"/>
        </w:rPr>
        <w:t xml:space="preserve"> mjeteve dhe metodave të analizës; programimin mbi baza shkencore, organizimin dhe zhvillimin e sesioneve </w:t>
      </w:r>
      <w:r w:rsidRPr="00EE2DE7">
        <w:rPr>
          <w:rFonts w:eastAsia="Times New Roman"/>
          <w:kern w:val="24"/>
          <w:lang w:eastAsia="en-GB"/>
        </w:rPr>
        <w:lastRenderedPageBreak/>
        <w:t>trajnuese të evidentuara nga vlerësimi i nevojave të marra drejtpërdrejt nga aktorët përfitues dhe nga institucionet që afektojnë në sistemin e drejtësisë, përfshi këtu proceset e reformës në drejtësi dhe të atyre integruese në BE etj. Këtu duhet të nënvizohet vendi dhe roli i partnerëve ndërkombëtar</w:t>
      </w:r>
      <w:r w:rsidRPr="00EE2DE7">
        <w:rPr>
          <w:rFonts w:eastAsia="MS Mincho"/>
          <w:kern w:val="24"/>
        </w:rPr>
        <w:t>ë</w:t>
      </w:r>
      <w:r w:rsidRPr="00EE2DE7">
        <w:rPr>
          <w:rFonts w:eastAsia="Times New Roman"/>
          <w:kern w:val="24"/>
          <w:lang w:eastAsia="en-GB"/>
        </w:rPr>
        <w:t xml:space="preserve"> që ende japin një kontribut cilësor në komponentë të ndryshëm të Programit të Formimit Vazhdues. Programi i Formimit Vazhdues do të vazhdojë të ketë një përmbajtje tematike gjithëpërfshirëse. Kështu, edhe në vazhdim, seminaret që do të organizojmë, do të prekin të gjitha fushat e ligjit, si: e drejta civile dhe e drejta procedurale civile me ndryshimet më të fundit në ligj, e drejta penale dhe e drejta procedurale penale me ndryshimet më të fundit në ligj, e drejta familjare dhe e drejta e të miturve me ndryshimet më të fundit në ligj, e drejta administrative, ku pritet që të vazhdohet me sete trajnimesh kushtuar gjyqtarëve të këtyre gjykatave të reja me gjyqtarët e emëruar në rreth e apel, shkrimi dhe arsyetimi ligjor, etika profesionale, e drejta e punës, e drejta tregtare, e drejta kushtetuese, e drejta europiane, të drejtat e njeriut, e drejta ndërkombëtare private, kibernetika, barazia gjinore dhe mosdiskriminimi, e drejta e punës, e drejta familjare, e drejta e falimentimit, e drejta bankare, e drejta ndërkombëtare publike, sistemi i drejtësisë për të miturit etj. </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 xml:space="preserve">Përmirësimin e aspekteve të koordinimit të aktiviteteve trajnuese dhe zyrtarizimit të protokolleve dhe mënyrave të njoftimit të pjesëmarrësve nga ana e Shkollës dhe e konfirmimit të pjesëmarrjes ose mospjesëmarrjes, përmes metodave on line. </w:t>
      </w:r>
    </w:p>
    <w:p w:rsidR="009F23E3" w:rsidRPr="00EE2DE7" w:rsidRDefault="009F23E3" w:rsidP="009F23E3">
      <w:pPr>
        <w:numPr>
          <w:ilvl w:val="0"/>
          <w:numId w:val="41"/>
        </w:numPr>
        <w:spacing w:line="276" w:lineRule="auto"/>
        <w:ind w:left="360"/>
        <w:contextualSpacing/>
        <w:jc w:val="both"/>
        <w:rPr>
          <w:rFonts w:eastAsia="MS Mincho"/>
          <w:kern w:val="24"/>
        </w:rPr>
      </w:pPr>
      <w:r w:rsidRPr="00EE2DE7">
        <w:rPr>
          <w:rFonts w:eastAsia="MS Mincho"/>
          <w:kern w:val="24"/>
        </w:rPr>
        <w:t xml:space="preserve">Përmirësimin e metodave të trajnimit duke përfshirë mundësinë e trajnimit në distancë dhe </w:t>
      </w:r>
      <w:r>
        <w:rPr>
          <w:rFonts w:eastAsia="MS Mincho"/>
          <w:kern w:val="24"/>
        </w:rPr>
        <w:t>E</w:t>
      </w:r>
      <w:r w:rsidRPr="00EE2DE7">
        <w:rPr>
          <w:rFonts w:eastAsia="MS Mincho"/>
          <w:kern w:val="24"/>
        </w:rPr>
        <w:t>-</w:t>
      </w:r>
      <w:r>
        <w:rPr>
          <w:rFonts w:eastAsia="MS Mincho"/>
          <w:kern w:val="24"/>
        </w:rPr>
        <w:t>l</w:t>
      </w:r>
      <w:r w:rsidRPr="00EE2DE7">
        <w:rPr>
          <w:rFonts w:eastAsia="MS Mincho"/>
          <w:kern w:val="24"/>
        </w:rPr>
        <w:t xml:space="preserve">earning, teknologjitë e reja në ndihmë </w:t>
      </w:r>
      <w:r w:rsidRPr="00EE2DE7">
        <w:rPr>
          <w:rFonts w:eastAsia="MS Mincho"/>
          <w:kern w:val="24"/>
        </w:rPr>
        <w:t xml:space="preserve">të trajnimit, me qëllim rritjen e cilësisë së trajnimit dhe performancës së trajnerëve etj. Tashmë, Shkolla është e mirë orientuar dhe ka hyrë në një fazë të konsoliduar të aktivitetit trajnues duke: u mbështetur në programe trajnuese të detajuara dhe të miratuara paraprakisht, sikurse ka ndodhur edhe me programet e mëparshme të miratuara nga Këshilli Drejtues; ka adoptuar protokolle për koordinimin dhe metodologjinë e mësimdhënies, të përshtatshme për seminaret kjo edhe falë një sërë aktivitetesh të formatit të trajnimit të trajnerëve të organizuara në vazhdimësi; mbledhur materiale si p.sh.: tekste ligjore; doktrina; jurisprudencë, një pjesë e të cilave bëhen edhe pjesë e modulit të çdo aktiviteti trajnues duke orientuar gjyqtarët dhe prokurorët në orientime doktrinare e praktike; individualizuar dhe rinovuar një grup pedagogësh të zgjedhur në bazë të ekspertizës specifike të demonstruar në lidhje me lëndë të veçanta për seminaret nisur edhe sipas vlerësimeve të shprehura nga pjesëmarrësit. </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 xml:space="preserve">Përmirësimin e metodologjisë në Formimin Vazhdues, përmes trajnimit të trajnerëve në mënyrë të rregullt në fillim të çdo viti akademik, por edhe në vazhdimësi, të seleksionimit dhe të rivlerësimit të kritereve për përzgjedhjen e trajnuesve, duke i dhënë përparësi rritjes së përfshirjes së gjyqtarëve dhe prokurorëve, si edhe ndjekjes me kujdes të procesit për përgatitjen e kurikulave dhe të moduleve të trajnimit prej trajnuesve. Për më tepër, do t’i jepet rëndësi kualifikimit të stafit të ekspertëve trajnues (ose pedagogjik) për seminare të cilat janë krejt të reja për nga tematika, ose të tilla që janë organizuar deri tani nga Shkolla, por pjesërisht janë mbështetur edhe nga ekspertë të ardhur prej partnerëve ndërkombëtarë. </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lastRenderedPageBreak/>
        <w:t>Realizimin e Programit të Formimit Vazhdues</w:t>
      </w:r>
      <w:r w:rsidRPr="00EE2DE7">
        <w:rPr>
          <w:rFonts w:eastAsia="Times New Roman"/>
          <w:color w:val="FF0000"/>
          <w:kern w:val="24"/>
          <w:lang w:eastAsia="en-GB"/>
        </w:rPr>
        <w:t xml:space="preserve">, </w:t>
      </w:r>
      <w:r w:rsidRPr="00EE2DE7">
        <w:rPr>
          <w:rFonts w:eastAsia="Times New Roman"/>
          <w:kern w:val="24"/>
          <w:lang w:eastAsia="en-GB"/>
        </w:rPr>
        <w:t>nisur edhe nga nevojat që vijnë si nga ndryshimet e legjislacionit, si dhe nga praktika e përditshme e punës së gjyqtarëve dhe prokurorëve. Kjo do të thotë kurse m</w:t>
      </w:r>
      <w:r w:rsidRPr="00EE2DE7">
        <w:rPr>
          <w:rFonts w:eastAsia="MS Mincho"/>
          <w:kern w:val="24"/>
        </w:rPr>
        <w:t>ë</w:t>
      </w:r>
      <w:r w:rsidRPr="00EE2DE7">
        <w:rPr>
          <w:rFonts w:eastAsia="Times New Roman"/>
          <w:kern w:val="24"/>
          <w:lang w:eastAsia="en-GB"/>
        </w:rPr>
        <w:t xml:space="preserve"> të shpeshta për tema të interesit më të gjerë; kurse të niveleve të caktuara për më tepër gjyqtarë dhe prokurorë; dhe kurse në fusha të reja dhe unifikim i tematikës së Formimit Vazhdues. Ndërmjet të tjerash, kurset që janë dhënë dhe që do të vazhdojnë të jepen nuk do të bëhen rutinë, por do të përmirësohen vazhdimisht, bazuar në opinionet e pjesëmarrësve, këshillat e miqve tanë ndërkombëtarë dhe, sigurisht, në përfundimet dhe sugjerimet e stafit tonë pedagogjik.</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Përfshirjen në trajnimet e profesioneve gjyqësore edhe të njohurive teknike që lidhen me: informatikën ligjore, krimin kompjuterik, administrimin e çështjeve dhe gjykatave, teknikat e administrimit të gjyqit, teknikat e hetimit, teknikat e mbledhjes së provave, teknikat e pyetjes së dëshmitarëve me vëmendje të veçantë për dëshmitarët e dobët si të miturit dhe viktimat e krimit, teknikat e ekspertizës gjyqësore, teknikat e dëgjimit, barazia gjinore dhe mosdiskriminimi etj.</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 xml:space="preserve">Aftësimin e gjyqtarëve dhe prokurorëve në detyrë, në lidhje me implementimin e rregullave kombëtare dhe ndërkombëtare dhe parimet për të drejtën e shtetasve për një gjykim të drejtë e të shpejtë, të drejtën e mbrojtjes dhe të barazisë në gjyq, të drejtën për t’u gjykuar nga një gjyqtar i paanshëm. Në këtë pikëpamje, qëllimi ynë do të jetë vazhdimi, si më parë, i trajnimit të gjyqtarëve e prokurorëve në lidhje me çështje të Konventës Europiane për të Drejtat e Njeriut dhe Etikës Profesionale të Gjyqësorit dhe në të njëjtën kohë, zhvillimin e trajnimeve të reja për aksesin në drejtësi dhe për një lidhje </w:t>
      </w:r>
      <w:r w:rsidRPr="00EE2DE7">
        <w:rPr>
          <w:rFonts w:eastAsia="Times New Roman"/>
          <w:kern w:val="24"/>
          <w:lang w:eastAsia="en-GB"/>
        </w:rPr>
        <w:t>më të drejtpërdrejtë të gjyqtarëve dhe prokurorëve me tema të fokusuara mbi çështje të kontekstit social.</w:t>
      </w:r>
    </w:p>
    <w:p w:rsidR="009F23E3" w:rsidRPr="00EE2DE7" w:rsidRDefault="009F23E3" w:rsidP="009F23E3">
      <w:pPr>
        <w:numPr>
          <w:ilvl w:val="0"/>
          <w:numId w:val="41"/>
        </w:numPr>
        <w:tabs>
          <w:tab w:val="left" w:pos="360"/>
          <w:tab w:val="left" w:pos="990"/>
        </w:tabs>
        <w:autoSpaceDE w:val="0"/>
        <w:autoSpaceDN w:val="0"/>
        <w:adjustRightInd w:val="0"/>
        <w:spacing w:line="276" w:lineRule="auto"/>
        <w:ind w:left="360"/>
        <w:contextualSpacing/>
        <w:jc w:val="both"/>
        <w:rPr>
          <w:rFonts w:eastAsia="Times New Roman"/>
          <w:kern w:val="24"/>
          <w:lang w:eastAsia="en-GB"/>
        </w:rPr>
      </w:pPr>
      <w:r>
        <w:rPr>
          <w:rFonts w:eastAsia="Times New Roman"/>
          <w:kern w:val="24"/>
          <w:lang w:eastAsia="en-GB"/>
        </w:rPr>
        <w:t>P</w:t>
      </w:r>
      <w:r w:rsidRPr="00EE2DE7">
        <w:rPr>
          <w:rFonts w:eastAsia="Times New Roman"/>
          <w:kern w:val="24"/>
          <w:lang w:eastAsia="en-GB"/>
        </w:rPr>
        <w:t>ërditësimi</w:t>
      </w:r>
      <w:r>
        <w:rPr>
          <w:rFonts w:eastAsia="Times New Roman"/>
          <w:kern w:val="24"/>
          <w:lang w:eastAsia="en-GB"/>
        </w:rPr>
        <w:t>n</w:t>
      </w:r>
      <w:r w:rsidRPr="00EE2DE7">
        <w:rPr>
          <w:rFonts w:eastAsia="Times New Roman"/>
          <w:kern w:val="24"/>
          <w:lang w:eastAsia="en-GB"/>
        </w:rPr>
        <w:t xml:space="preserve"> dhe pasurimi</w:t>
      </w:r>
      <w:r>
        <w:rPr>
          <w:rFonts w:eastAsia="Times New Roman"/>
          <w:kern w:val="24"/>
          <w:lang w:eastAsia="en-GB"/>
        </w:rPr>
        <w:t>n e</w:t>
      </w:r>
      <w:r w:rsidRPr="00EE2DE7">
        <w:rPr>
          <w:rFonts w:eastAsia="Times New Roman"/>
          <w:kern w:val="24"/>
          <w:lang w:eastAsia="en-GB"/>
        </w:rPr>
        <w:t xml:space="preserve"> programeve</w:t>
      </w:r>
      <w:r>
        <w:rPr>
          <w:rFonts w:eastAsia="Times New Roman"/>
          <w:kern w:val="24"/>
          <w:lang w:eastAsia="en-GB"/>
        </w:rPr>
        <w:t>, të cilat</w:t>
      </w:r>
      <w:r w:rsidRPr="00EE2DE7">
        <w:rPr>
          <w:rFonts w:eastAsia="Times New Roman"/>
          <w:kern w:val="24"/>
          <w:lang w:eastAsia="en-GB"/>
        </w:rPr>
        <w:t xml:space="preserve"> do të mbetet </w:t>
      </w:r>
      <w:r>
        <w:rPr>
          <w:rFonts w:eastAsia="Times New Roman"/>
          <w:kern w:val="24"/>
          <w:lang w:eastAsia="en-GB"/>
        </w:rPr>
        <w:t>p</w:t>
      </w:r>
      <w:r w:rsidRPr="00EE2DE7">
        <w:rPr>
          <w:rFonts w:eastAsia="Times New Roman"/>
          <w:kern w:val="24"/>
          <w:lang w:eastAsia="en-GB"/>
        </w:rPr>
        <w:t xml:space="preserve">ërsëri prioritet, duke marrë në konsideratë nxitjen që vjen nga jeta shkencore. Trajnimi i gjyqtarëve dhe prokurorëve, i ofruar nga Shkolla, do të investigojë marrëdhëniet ndërmjet të drejtës dhe shkencës, të drejtës dhe filozofisë, të drejtës dhe logjikës, të drejtës dhe psikologjisë dhe të drejtës e ekonomisë. Kjo, me qëllim që ligji të jetë në funksion të shoqërisë. </w:t>
      </w:r>
    </w:p>
    <w:p w:rsidR="009F23E3" w:rsidRPr="00EE2DE7" w:rsidRDefault="009F23E3" w:rsidP="009F23E3">
      <w:pPr>
        <w:numPr>
          <w:ilvl w:val="0"/>
          <w:numId w:val="41"/>
        </w:numPr>
        <w:tabs>
          <w:tab w:val="left" w:pos="540"/>
          <w:tab w:val="left" w:pos="1080"/>
        </w:tabs>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Identifikimin nga pikëpamja sasiore t</w:t>
      </w:r>
      <w:r w:rsidRPr="00EE2DE7">
        <w:rPr>
          <w:rFonts w:eastAsia="MS Mincho"/>
          <w:kern w:val="24"/>
        </w:rPr>
        <w:t>ë</w:t>
      </w:r>
      <w:r w:rsidRPr="00EE2DE7">
        <w:rPr>
          <w:rFonts w:eastAsia="Times New Roman"/>
          <w:kern w:val="24"/>
          <w:lang w:eastAsia="en-GB"/>
        </w:rPr>
        <w:t xml:space="preserve"> numrit të gjyqtarëve dhe prokurorëve që do të trajnohen lidhur me legjislacionin dhe standardet e BE-së dhe praktikën ndërkombëtare. Në këtë vështrim, do të studiohet një orientim i tematikës mbi bazë nivelesh dhe duke studiuar realitetin dhe perspektivën e përçimit të këtyre standardeve.</w:t>
      </w:r>
    </w:p>
    <w:p w:rsidR="009F23E3" w:rsidRPr="00EE2DE7" w:rsidRDefault="009F23E3" w:rsidP="009F23E3">
      <w:pPr>
        <w:numPr>
          <w:ilvl w:val="0"/>
          <w:numId w:val="41"/>
        </w:numPr>
        <w:tabs>
          <w:tab w:val="left" w:pos="360"/>
          <w:tab w:val="left" w:pos="540"/>
          <w:tab w:val="left" w:pos="900"/>
        </w:tabs>
        <w:autoSpaceDE w:val="0"/>
        <w:autoSpaceDN w:val="0"/>
        <w:adjustRightInd w:val="0"/>
        <w:spacing w:line="276" w:lineRule="auto"/>
        <w:ind w:left="360"/>
        <w:contextualSpacing/>
        <w:jc w:val="both"/>
        <w:rPr>
          <w:rFonts w:eastAsia="Times New Roman"/>
          <w:kern w:val="24"/>
          <w:lang w:eastAsia="en-GB"/>
        </w:rPr>
      </w:pPr>
      <w:r>
        <w:rPr>
          <w:rFonts w:eastAsia="Times New Roman"/>
          <w:kern w:val="24"/>
          <w:lang w:eastAsia="en-GB"/>
        </w:rPr>
        <w:t>R</w:t>
      </w:r>
      <w:r w:rsidRPr="00EE2DE7">
        <w:rPr>
          <w:rFonts w:eastAsia="Times New Roman"/>
          <w:kern w:val="24"/>
          <w:lang w:eastAsia="en-GB"/>
        </w:rPr>
        <w:t>ritjen e kapaciteteve të trajnerëve lokalë të ardhur nga radh</w:t>
      </w:r>
      <w:r>
        <w:rPr>
          <w:rFonts w:eastAsia="Times New Roman"/>
          <w:kern w:val="24"/>
          <w:lang w:eastAsia="en-GB"/>
        </w:rPr>
        <w:t xml:space="preserve">ët e gjyqtarëve dhe prokurorëve. Shkolla </w:t>
      </w:r>
      <w:r w:rsidRPr="00EE2DE7">
        <w:rPr>
          <w:rFonts w:eastAsia="Times New Roman"/>
          <w:kern w:val="24"/>
          <w:lang w:eastAsia="en-GB"/>
        </w:rPr>
        <w:t xml:space="preserve">do të kujdeset në vazhdimësi për evidentimin e trajnerëve të rinj dhe trajnimin e tyre në vazhdimësi, si dhe do të mbajë në vëmendje gjithashtu, për vendosjen e marrëdhënieve të drejta ndërmjet trajnerëve lokalë dhe atyre ndërkombëtarë. </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Pr>
          <w:rFonts w:eastAsia="Times New Roman"/>
          <w:kern w:val="24"/>
          <w:lang w:eastAsia="en-GB"/>
        </w:rPr>
        <w:t>Trajnimin e</w:t>
      </w:r>
      <w:r w:rsidRPr="00EE2DE7">
        <w:rPr>
          <w:rFonts w:eastAsia="Times New Roman"/>
          <w:kern w:val="24"/>
          <w:lang w:eastAsia="en-GB"/>
        </w:rPr>
        <w:t xml:space="preserve"> kryetarëve të gjykatave dhe drejtuesve të prokurorive, duke pasur parasysh se puna e tyre presupozon aftësi gjyqësore dhe gjithashtu administru</w:t>
      </w:r>
      <w:r>
        <w:rPr>
          <w:rFonts w:eastAsia="Times New Roman"/>
          <w:kern w:val="24"/>
          <w:lang w:eastAsia="en-GB"/>
        </w:rPr>
        <w:t>ese. Në një afat të shkurtër,</w:t>
      </w:r>
      <w:r w:rsidRPr="00EE2DE7">
        <w:rPr>
          <w:rFonts w:eastAsia="Times New Roman"/>
          <w:kern w:val="24"/>
          <w:lang w:eastAsia="en-GB"/>
        </w:rPr>
        <w:t xml:space="preserve"> do të vazhdojmë të zhvillojmë më tej trajnimet për kryetarët e gjykatave në lidhje me: kuadrin ligjor që rregullon statusin, rolin dhe përgjegjësitë e tyre; planifikimin dhe administrimin e zyrave në lidhje me implementimin e reformave administrative dhe gjyqësore; menaxhimin e </w:t>
      </w:r>
      <w:r w:rsidRPr="00EE2DE7">
        <w:rPr>
          <w:rFonts w:eastAsia="Times New Roman"/>
          <w:kern w:val="24"/>
          <w:lang w:eastAsia="en-GB"/>
        </w:rPr>
        <w:lastRenderedPageBreak/>
        <w:t>burimeve njerëzore; kontabilitetin; politikat buxhetore; dhe vlerësimin profesional të gjyqtarëve. Disa sesione trajnuese do të jenë të përbashkëta me kancelarët, përderisa ne shohim detyra dhe përgjegjësi të përbashkëta në lidhje me administrimin e gjykatës. Në të njëjtën mënyrë do të zhvillohen edhe sesione trajnimi specifike të dedikuara prokurorëve të rretheve në fushën e administrimit të prokurorive.</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Pr>
          <w:rFonts w:eastAsia="Times New Roman"/>
          <w:kern w:val="24"/>
          <w:lang w:eastAsia="en-GB"/>
        </w:rPr>
        <w:t>T</w:t>
      </w:r>
      <w:r w:rsidRPr="00EE2DE7">
        <w:rPr>
          <w:rFonts w:eastAsia="Times New Roman"/>
          <w:kern w:val="24"/>
          <w:lang w:eastAsia="en-GB"/>
        </w:rPr>
        <w:t xml:space="preserve">rajnimin e gjyqtarëve dhe prokurorëve edhe me legjislacionin rajonal, me të cilin marrëdhëniet juridiksionale janë më të spikatura. Kështu, do të bëhet orientimi i të gjithë tematikës, për nga nivelet e marrëdhënieve dhe të ndërvarësisë të legjislacionit shqiptar me atë të shteteve të tjera dhe të BE-së; </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 xml:space="preserve">Nxitjen e gjyqtarëve dhe prokurorëve për përdorimin e teknologjisë ekzistuese dhe në zhvillim. Shkolla ka faqen e saj të internetit, në të cilën do të paraqiten informacione të ndryshme. Do të jemi vazhdimisht të përditësuar me ndryshimet në teknologji dhe do të kërkojmë që të përfitojmë plotësisht nga burimet e disponueshme të internetit. Ndër të tjera, kjo do të përfshijë zhvillimin e mëtejshëm të faqes së internetit në përfitim të gjyqtarëve dhe prokurorëve në detyrë, duke zhvilluar dhe stimuluar përdorimin e forumit të diskutimit në internet dhe përhapjen e informacionit ligjor me anë të komunikimit online me ta. Ne do të vazhdojmë t’i kushtojmë vëmendje përmirësimit të faqes së internetit të Shkollës për ta bërë sa më të dobishme që të mundemi, midis të tjerave duke: futur informacion në lidhje me kurset e ardhshme, në mënyrë që të ketë më tepër pjesëmarrje; me futjen e materialeve ligjore, si leksione jurisprudencë të mbledhura nga </w:t>
      </w:r>
      <w:r w:rsidRPr="00EE2DE7">
        <w:rPr>
          <w:rFonts w:eastAsia="Times New Roman"/>
          <w:kern w:val="24"/>
          <w:lang w:eastAsia="en-GB"/>
        </w:rPr>
        <w:t>seminaret, në mënyrë që njohuritë e trajnimit të përhapen në të gjithë vendin.</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Përdorimi</w:t>
      </w:r>
      <w:r>
        <w:rPr>
          <w:rFonts w:eastAsia="Times New Roman"/>
          <w:kern w:val="24"/>
          <w:lang w:eastAsia="en-GB"/>
        </w:rPr>
        <w:t>n e</w:t>
      </w:r>
      <w:r w:rsidRPr="00EE2DE7">
        <w:rPr>
          <w:rFonts w:eastAsia="Times New Roman"/>
          <w:kern w:val="24"/>
          <w:lang w:eastAsia="en-GB"/>
        </w:rPr>
        <w:t xml:space="preserve"> platform</w:t>
      </w:r>
      <w:r w:rsidRPr="00EE2DE7">
        <w:rPr>
          <w:rFonts w:eastAsia="MS Mincho"/>
          <w:kern w:val="24"/>
        </w:rPr>
        <w:t>ë</w:t>
      </w:r>
      <w:r w:rsidRPr="00EE2DE7">
        <w:rPr>
          <w:rFonts w:eastAsia="Times New Roman"/>
          <w:kern w:val="24"/>
          <w:lang w:eastAsia="en-GB"/>
        </w:rPr>
        <w:t xml:space="preserve">s </w:t>
      </w:r>
      <w:r>
        <w:rPr>
          <w:rFonts w:eastAsia="Times New Roman"/>
          <w:i/>
          <w:kern w:val="24"/>
          <w:lang w:eastAsia="en-GB"/>
        </w:rPr>
        <w:t>E</w:t>
      </w:r>
      <w:r w:rsidRPr="00EE2DE7">
        <w:rPr>
          <w:rFonts w:eastAsia="Times New Roman"/>
          <w:i/>
          <w:kern w:val="24"/>
          <w:lang w:eastAsia="en-GB"/>
        </w:rPr>
        <w:t>-learning</w:t>
      </w:r>
      <w:r w:rsidRPr="00EE2DE7">
        <w:rPr>
          <w:rFonts w:eastAsia="Times New Roman"/>
          <w:kern w:val="24"/>
          <w:lang w:eastAsia="en-GB"/>
        </w:rPr>
        <w:t xml:space="preserve"> n</w:t>
      </w:r>
      <w:r w:rsidRPr="00EE2DE7">
        <w:rPr>
          <w:rFonts w:eastAsia="MS Mincho"/>
          <w:kern w:val="24"/>
        </w:rPr>
        <w:t>ë</w:t>
      </w:r>
      <w:r w:rsidRPr="00EE2DE7">
        <w:rPr>
          <w:rFonts w:eastAsia="Times New Roman"/>
          <w:kern w:val="24"/>
          <w:lang w:eastAsia="en-GB"/>
        </w:rPr>
        <w:t xml:space="preserve"> lidhje me aplikimin apo edhe disponimin e materialeve trajnuese ku çdo gjyqtar apo prokuror, ka mundësinë e pasjes së të gjitha materialeve trajnuese të përdorura nga ekspertët në aktivitetet përkatëse, por edhe të kontrollojnë temat për të cilat ata kanë interes, ka qenë objektiv i realizuar nga Shkolla gjatë vitit akademik 2017-2018. Synohet që platforma të përmir</w:t>
      </w:r>
      <w:r w:rsidRPr="00EE2DE7">
        <w:rPr>
          <w:rFonts w:eastAsia="MS Mincho"/>
          <w:kern w:val="24"/>
        </w:rPr>
        <w:t>ë</w:t>
      </w:r>
      <w:r w:rsidRPr="00EE2DE7">
        <w:rPr>
          <w:rFonts w:eastAsia="Times New Roman"/>
          <w:kern w:val="24"/>
          <w:lang w:eastAsia="en-GB"/>
        </w:rPr>
        <w:t>sohet vazhdimisht në materialet referuese, por dhe në shtimin e numrit të seminareve dhe zgjerimin e përfituesve duke mundësuar  ndjekjen në distancë dhe të seminareve trajnuese, duke ua leht</w:t>
      </w:r>
      <w:r w:rsidRPr="00EE2DE7">
        <w:rPr>
          <w:rFonts w:eastAsia="MS Mincho"/>
          <w:kern w:val="24"/>
        </w:rPr>
        <w:t>ësuar</w:t>
      </w:r>
      <w:r w:rsidRPr="00EE2DE7">
        <w:rPr>
          <w:rFonts w:eastAsia="Times New Roman"/>
          <w:kern w:val="24"/>
          <w:lang w:eastAsia="en-GB"/>
        </w:rPr>
        <w:t xml:space="preserve"> gjyqtar</w:t>
      </w:r>
      <w:r w:rsidRPr="00EE2DE7">
        <w:rPr>
          <w:rFonts w:eastAsia="MS Mincho"/>
          <w:kern w:val="24"/>
        </w:rPr>
        <w:t>ëve</w:t>
      </w:r>
      <w:r w:rsidRPr="00EE2DE7">
        <w:rPr>
          <w:rFonts w:eastAsia="Times New Roman"/>
          <w:kern w:val="24"/>
          <w:lang w:eastAsia="en-GB"/>
        </w:rPr>
        <w:t xml:space="preserve">  dhe prokuror</w:t>
      </w:r>
      <w:r w:rsidRPr="00EE2DE7">
        <w:rPr>
          <w:rFonts w:eastAsia="MS Mincho"/>
          <w:kern w:val="24"/>
        </w:rPr>
        <w:t>ë</w:t>
      </w:r>
      <w:r w:rsidRPr="00EE2DE7">
        <w:rPr>
          <w:rFonts w:eastAsia="Times New Roman"/>
          <w:kern w:val="24"/>
          <w:lang w:eastAsia="en-GB"/>
        </w:rPr>
        <w:t xml:space="preserve"> q</w:t>
      </w:r>
      <w:r w:rsidRPr="00EE2DE7">
        <w:rPr>
          <w:rFonts w:eastAsia="MS Mincho"/>
          <w:kern w:val="24"/>
        </w:rPr>
        <w:t>ë</w:t>
      </w:r>
      <w:r w:rsidRPr="00EE2DE7">
        <w:rPr>
          <w:rFonts w:eastAsia="Times New Roman"/>
          <w:kern w:val="24"/>
          <w:lang w:eastAsia="en-GB"/>
        </w:rPr>
        <w:t xml:space="preserve"> p</w:t>
      </w:r>
      <w:r w:rsidRPr="00EE2DE7">
        <w:rPr>
          <w:rFonts w:eastAsia="MS Mincho"/>
          <w:kern w:val="24"/>
        </w:rPr>
        <w:t>ë</w:t>
      </w:r>
      <w:r w:rsidRPr="00EE2DE7">
        <w:rPr>
          <w:rFonts w:eastAsia="Times New Roman"/>
          <w:kern w:val="24"/>
          <w:lang w:eastAsia="en-GB"/>
        </w:rPr>
        <w:t>r shkak t</w:t>
      </w:r>
      <w:r w:rsidRPr="00EE2DE7">
        <w:rPr>
          <w:rFonts w:eastAsia="MS Mincho"/>
          <w:kern w:val="24"/>
        </w:rPr>
        <w:t>ë</w:t>
      </w:r>
      <w:r w:rsidRPr="00EE2DE7">
        <w:rPr>
          <w:rFonts w:eastAsia="Times New Roman"/>
          <w:kern w:val="24"/>
          <w:lang w:eastAsia="en-GB"/>
        </w:rPr>
        <w:t xml:space="preserve"> larg</w:t>
      </w:r>
      <w:r w:rsidRPr="00EE2DE7">
        <w:rPr>
          <w:rFonts w:eastAsia="MS Mincho"/>
          <w:kern w:val="24"/>
        </w:rPr>
        <w:t>ë</w:t>
      </w:r>
      <w:r w:rsidRPr="00EE2DE7">
        <w:rPr>
          <w:rFonts w:eastAsia="Times New Roman"/>
          <w:kern w:val="24"/>
          <w:lang w:eastAsia="en-GB"/>
        </w:rPr>
        <w:t>sis</w:t>
      </w:r>
      <w:r w:rsidRPr="00EE2DE7">
        <w:rPr>
          <w:rFonts w:eastAsia="MS Mincho"/>
          <w:kern w:val="24"/>
        </w:rPr>
        <w:t>ë</w:t>
      </w:r>
      <w:r w:rsidRPr="00EE2DE7">
        <w:rPr>
          <w:rFonts w:eastAsia="Times New Roman"/>
          <w:kern w:val="24"/>
          <w:lang w:eastAsia="en-GB"/>
        </w:rPr>
        <w:t xml:space="preserve"> gjeografike apo angazhimeve do ta kishin t</w:t>
      </w:r>
      <w:r w:rsidRPr="00EE2DE7">
        <w:rPr>
          <w:rFonts w:eastAsia="MS Mincho"/>
          <w:kern w:val="24"/>
        </w:rPr>
        <w:t>ë</w:t>
      </w:r>
      <w:r w:rsidRPr="00EE2DE7">
        <w:rPr>
          <w:rFonts w:eastAsia="Times New Roman"/>
          <w:kern w:val="24"/>
          <w:lang w:eastAsia="en-GB"/>
        </w:rPr>
        <w:t xml:space="preserve"> pamundur ndjekjen e tyre.</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Pr>
          <w:rFonts w:eastAsia="Times New Roman"/>
          <w:kern w:val="24"/>
          <w:lang w:eastAsia="en-GB"/>
        </w:rPr>
        <w:t>V</w:t>
      </w:r>
      <w:r w:rsidRPr="00EE2DE7">
        <w:rPr>
          <w:rFonts w:eastAsia="Times New Roman"/>
          <w:kern w:val="24"/>
          <w:lang w:eastAsia="en-GB"/>
        </w:rPr>
        <w:t xml:space="preserve">endosjen e pikave të kontaktit me gjykatat dhe prokuroritë në rreth dhe </w:t>
      </w:r>
      <w:r>
        <w:rPr>
          <w:rFonts w:eastAsia="Times New Roman"/>
          <w:kern w:val="24"/>
          <w:lang w:eastAsia="en-GB"/>
        </w:rPr>
        <w:t xml:space="preserve">në </w:t>
      </w:r>
      <w:r w:rsidRPr="00EE2DE7">
        <w:rPr>
          <w:rFonts w:eastAsia="Times New Roman"/>
          <w:kern w:val="24"/>
          <w:lang w:eastAsia="en-GB"/>
        </w:rPr>
        <w:t>apel, me qëllim koordinimin e aktiviteteve duke siguruar komunikim të drejtpërdrejtë dhe në kohë reale. Ky angazhim do të mbetet prioritet i Shkollës edhe për të ardhmen.</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Pr>
          <w:rFonts w:eastAsia="Times New Roman"/>
          <w:kern w:val="24"/>
          <w:lang w:eastAsia="en-GB"/>
        </w:rPr>
        <w:t>Rritjen e disiplinës dhe</w:t>
      </w:r>
      <w:r w:rsidRPr="00EE2DE7">
        <w:rPr>
          <w:rFonts w:eastAsia="Times New Roman"/>
          <w:kern w:val="24"/>
          <w:lang w:eastAsia="en-GB"/>
        </w:rPr>
        <w:t xml:space="preserve"> pj</w:t>
      </w:r>
      <w:r>
        <w:rPr>
          <w:rFonts w:eastAsia="Times New Roman"/>
          <w:kern w:val="24"/>
          <w:lang w:eastAsia="en-GB"/>
        </w:rPr>
        <w:t>esëmarrjes në seminare të</w:t>
      </w:r>
      <w:r w:rsidRPr="00EE2DE7">
        <w:rPr>
          <w:rFonts w:eastAsia="Times New Roman"/>
          <w:kern w:val="24"/>
          <w:lang w:eastAsia="en-GB"/>
        </w:rPr>
        <w:t xml:space="preserve"> pjesëmarrësve dhe do të rrisë shkallën e bashkëpunimit me KLGJ-në dhe KLP-në edhe për këtë problem.</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Organizimi</w:t>
      </w:r>
      <w:r>
        <w:rPr>
          <w:rFonts w:eastAsia="Times New Roman"/>
          <w:kern w:val="24"/>
          <w:lang w:eastAsia="en-GB"/>
        </w:rPr>
        <w:t>n e</w:t>
      </w:r>
      <w:r w:rsidRPr="00EE2DE7">
        <w:rPr>
          <w:rFonts w:eastAsia="Times New Roman"/>
          <w:kern w:val="24"/>
          <w:lang w:eastAsia="en-GB"/>
        </w:rPr>
        <w:t xml:space="preserve"> trajnimeve specifike për gjyqtarët, prokurorët dhe avokatët e shtetit për zbatimin e ligjit për gjykatat administrative.</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Organizimi</w:t>
      </w:r>
      <w:r>
        <w:rPr>
          <w:rFonts w:eastAsia="Times New Roman"/>
          <w:kern w:val="24"/>
          <w:lang w:eastAsia="en-GB"/>
        </w:rPr>
        <w:t>n e</w:t>
      </w:r>
      <w:r w:rsidRPr="00EE2DE7">
        <w:rPr>
          <w:rFonts w:eastAsia="Times New Roman"/>
          <w:kern w:val="24"/>
          <w:lang w:eastAsia="en-GB"/>
        </w:rPr>
        <w:t xml:space="preserve"> trajnimeve specifike për subjektet e tjera të përfshira në programin e Trajnimit Vazhdues, referuar ndryshimeve më të fundit në legjislacion: gjyqtarë të Gjykatës së Lartë dhe prokurorëve të Prokurorisë së Përgjithshme dhe të SPAK-ut; avokatët e shtetit në detyrë; këshilltarët dhe ndihmësit </w:t>
      </w:r>
      <w:r w:rsidRPr="00EE2DE7">
        <w:rPr>
          <w:rFonts w:eastAsia="Times New Roman"/>
          <w:kern w:val="24"/>
          <w:lang w:eastAsia="en-GB"/>
        </w:rPr>
        <w:lastRenderedPageBreak/>
        <w:t xml:space="preserve">ligjorë në detyrë në gjykatat dhe prokuroritë; kancelarët në detyrë në gjykatat dhe prokuroritë si edhe gjyqtarët dhe prokurorët që nuk kalojnë procesin e </w:t>
      </w:r>
      <w:r w:rsidRPr="00EE2DE7">
        <w:rPr>
          <w:rFonts w:eastAsia="Times New Roman"/>
          <w:i/>
          <w:kern w:val="24"/>
          <w:lang w:eastAsia="en-GB"/>
        </w:rPr>
        <w:t>vetingut</w:t>
      </w:r>
      <w:r w:rsidRPr="00EE2DE7">
        <w:rPr>
          <w:rFonts w:eastAsia="Times New Roman"/>
          <w:kern w:val="24"/>
          <w:lang w:eastAsia="en-GB"/>
        </w:rPr>
        <w:t>.</w:t>
      </w:r>
    </w:p>
    <w:p w:rsidR="009F23E3" w:rsidRPr="00EE2DE7" w:rsidRDefault="009F23E3" w:rsidP="009F23E3">
      <w:pPr>
        <w:numPr>
          <w:ilvl w:val="0"/>
          <w:numId w:val="41"/>
        </w:numPr>
        <w:autoSpaceDE w:val="0"/>
        <w:autoSpaceDN w:val="0"/>
        <w:adjustRightInd w:val="0"/>
        <w:spacing w:line="276" w:lineRule="auto"/>
        <w:ind w:left="360"/>
        <w:contextualSpacing/>
        <w:jc w:val="both"/>
        <w:rPr>
          <w:rFonts w:eastAsia="Times New Roman"/>
          <w:kern w:val="24"/>
          <w:lang w:eastAsia="en-GB"/>
        </w:rPr>
      </w:pPr>
      <w:r w:rsidRPr="00EE2DE7">
        <w:rPr>
          <w:rFonts w:eastAsia="Times New Roman"/>
          <w:kern w:val="24"/>
          <w:lang w:eastAsia="en-GB"/>
        </w:rPr>
        <w:t>Identifikimi</w:t>
      </w:r>
      <w:r>
        <w:rPr>
          <w:rFonts w:eastAsia="Times New Roman"/>
          <w:kern w:val="24"/>
          <w:lang w:eastAsia="en-GB"/>
        </w:rPr>
        <w:t>n e</w:t>
      </w:r>
      <w:r w:rsidRPr="00EE2DE7">
        <w:rPr>
          <w:rFonts w:eastAsia="Times New Roman"/>
          <w:kern w:val="24"/>
          <w:lang w:eastAsia="en-GB"/>
        </w:rPr>
        <w:t xml:space="preserve"> nevojave për kurse të reja në fusha të tjera paralelisht me kurset ekzistuese për të rritur aftësitë gjyqësore mbi efektet e faktorëve shoqërorë në rritjen e përgjegjësisë sociale të gjyqtarëve dhe prokurorëve, për shembull, në fushën e logjikës dhe psikologjisë gjyqësore e të tjera.</w:t>
      </w:r>
    </w:p>
    <w:p w:rsidR="009F23E3" w:rsidRPr="00EE2DE7" w:rsidRDefault="009F23E3" w:rsidP="009F23E3">
      <w:pPr>
        <w:spacing w:line="276" w:lineRule="auto"/>
        <w:jc w:val="both"/>
        <w:rPr>
          <w:rFonts w:eastAsia="Calibri"/>
          <w:b/>
          <w:color w:val="1F4E79"/>
          <w:spacing w:val="20"/>
          <w:kern w:val="24"/>
        </w:rPr>
      </w:pPr>
    </w:p>
    <w:p w:rsidR="009F23E3" w:rsidRPr="009F23E3" w:rsidRDefault="009F23E3" w:rsidP="009F23E3">
      <w:pPr>
        <w:spacing w:line="276" w:lineRule="auto"/>
        <w:jc w:val="both"/>
        <w:rPr>
          <w:b/>
          <w:noProof/>
          <w:color w:val="CC9966" w:themeColor="accent2"/>
          <w:sz w:val="32"/>
          <w:lang w:eastAsia="en-US"/>
        </w:rPr>
      </w:pPr>
      <w:r w:rsidRPr="009F23E3">
        <w:rPr>
          <w:b/>
          <w:noProof/>
          <w:color w:val="CC9966" w:themeColor="accent2"/>
          <w:sz w:val="32"/>
          <w:lang w:eastAsia="en-US"/>
        </w:rPr>
        <w:t>6.3</w:t>
      </w:r>
      <w:r>
        <w:rPr>
          <w:b/>
          <w:noProof/>
          <w:color w:val="CC9966" w:themeColor="accent2"/>
          <w:sz w:val="32"/>
          <w:lang w:eastAsia="en-US"/>
        </w:rPr>
        <w:t>.</w:t>
      </w:r>
      <w:r w:rsidRPr="009F23E3">
        <w:rPr>
          <w:b/>
          <w:noProof/>
          <w:color w:val="CC9966" w:themeColor="accent2"/>
          <w:sz w:val="32"/>
          <w:lang w:eastAsia="en-US"/>
        </w:rPr>
        <w:t xml:space="preserve"> Publikimet dhe puna kërkimore-shkencore </w:t>
      </w:r>
    </w:p>
    <w:p w:rsidR="007C25A6" w:rsidRDefault="007C25A6" w:rsidP="009F23E3">
      <w:pPr>
        <w:spacing w:line="276" w:lineRule="auto"/>
        <w:jc w:val="both"/>
        <w:rPr>
          <w:rFonts w:eastAsia="Tw Cen MT"/>
          <w:b/>
          <w:kern w:val="24"/>
        </w:rPr>
      </w:pPr>
    </w:p>
    <w:p w:rsidR="009F23E3" w:rsidRDefault="009F23E3" w:rsidP="009F23E3">
      <w:pPr>
        <w:spacing w:line="276" w:lineRule="auto"/>
        <w:jc w:val="both"/>
        <w:rPr>
          <w:b/>
          <w:noProof/>
          <w:color w:val="CC9966" w:themeColor="accent2"/>
          <w:lang w:eastAsia="en-US"/>
        </w:rPr>
      </w:pPr>
      <w:r w:rsidRPr="009F23E3">
        <w:rPr>
          <w:b/>
          <w:noProof/>
          <w:color w:val="CC9966" w:themeColor="accent2"/>
          <w:lang w:eastAsia="en-US"/>
        </w:rPr>
        <w:t>Objektivat për periudhën 2018-2019</w:t>
      </w:r>
    </w:p>
    <w:p w:rsidR="009F23E3" w:rsidRPr="00EE2DE7" w:rsidRDefault="009F23E3" w:rsidP="009F23E3">
      <w:pPr>
        <w:spacing w:line="276" w:lineRule="auto"/>
        <w:jc w:val="both"/>
      </w:pPr>
      <w:r w:rsidRPr="00EE2DE7">
        <w:rPr>
          <w:rFonts w:eastAsia="Tw Cen MT"/>
          <w:kern w:val="24"/>
        </w:rPr>
        <w:t>Publikimet dhe puna kërkimore do të</w:t>
      </w:r>
      <w:r>
        <w:rPr>
          <w:rFonts w:eastAsia="Tw Cen MT"/>
          <w:kern w:val="24"/>
        </w:rPr>
        <w:t xml:space="preserve"> vazhdojnë të jenë veprimtari e</w:t>
      </w:r>
      <w:r w:rsidRPr="00EE2DE7">
        <w:rPr>
          <w:rFonts w:eastAsia="Tw Cen MT"/>
          <w:kern w:val="24"/>
        </w:rPr>
        <w:t xml:space="preserve"> rënd</w:t>
      </w:r>
      <w:r>
        <w:rPr>
          <w:rFonts w:eastAsia="Tw Cen MT"/>
          <w:kern w:val="24"/>
        </w:rPr>
        <w:t>ësishme e</w:t>
      </w:r>
      <w:r w:rsidRPr="00EE2DE7">
        <w:rPr>
          <w:rFonts w:eastAsia="Tw Cen MT"/>
          <w:kern w:val="24"/>
        </w:rPr>
        <w:t xml:space="preserve">  Shkollës për të mbështetur por dhe pasqyruar veprimtaritë </w:t>
      </w:r>
      <w:r>
        <w:rPr>
          <w:rFonts w:eastAsia="Tw Cen MT"/>
          <w:kern w:val="24"/>
        </w:rPr>
        <w:t>akademike të Formimit Fillestar</w:t>
      </w:r>
      <w:r w:rsidRPr="00EE2DE7">
        <w:rPr>
          <w:rFonts w:eastAsia="Tw Cen MT"/>
          <w:kern w:val="24"/>
        </w:rPr>
        <w:t xml:space="preserve"> dhe Formimit të Vazhduar. Duke punuar së bashku me të gjitha palët e interesuara në fushën e së drejtës synojmë të japim një kontribut të rëndësishëm në literaturën e fushës së jurisprudencës.</w:t>
      </w:r>
      <w:r w:rsidRPr="00EE2DE7">
        <w:t xml:space="preserve">  Shkolla e Magjistraturës do të botojë nën emrin dhe kujdesin e saj tekste të ndryshme</w:t>
      </w:r>
      <w:r>
        <w:t xml:space="preserve"> </w:t>
      </w:r>
      <w:r w:rsidRPr="00EE2DE7">
        <w:t>(monografi, periodik</w:t>
      </w:r>
      <w:r>
        <w:t>ë</w:t>
      </w:r>
      <w:r w:rsidRPr="00EE2DE7">
        <w:t>, manual</w:t>
      </w:r>
      <w:r>
        <w:t>ë</w:t>
      </w:r>
      <w:r w:rsidRPr="00EE2DE7">
        <w:t>, bot</w:t>
      </w:r>
      <w:r>
        <w:t>ime konferencash) në fushën e së</w:t>
      </w:r>
      <w:r w:rsidRPr="00EE2DE7">
        <w:t xml:space="preserve"> drejt</w:t>
      </w:r>
      <w:r>
        <w:t>ës duke ju referuar  publikut të gjerë të juristë</w:t>
      </w:r>
      <w:r w:rsidRPr="00EE2DE7">
        <w:t>ve vendas</w:t>
      </w:r>
      <w:r>
        <w:t>,</w:t>
      </w:r>
      <w:r w:rsidRPr="00EE2DE7">
        <w:t xml:space="preserve"> </w:t>
      </w:r>
      <w:r>
        <w:t xml:space="preserve"> por dhe të r</w:t>
      </w:r>
      <w:r w:rsidRPr="00EE2DE7">
        <w:t>ajonit.</w:t>
      </w:r>
    </w:p>
    <w:p w:rsidR="009F23E3" w:rsidRPr="00EE2DE7" w:rsidRDefault="009F23E3" w:rsidP="009F23E3">
      <w:pPr>
        <w:spacing w:line="276" w:lineRule="auto"/>
        <w:ind w:firstLine="720"/>
        <w:jc w:val="both"/>
        <w:rPr>
          <w:rFonts w:eastAsia="Tw Cen MT"/>
          <w:bCs/>
          <w:kern w:val="24"/>
        </w:rPr>
      </w:pPr>
      <w:r w:rsidRPr="00EE2DE7">
        <w:rPr>
          <w:rFonts w:eastAsia="Tw Cen MT"/>
          <w:kern w:val="24"/>
        </w:rPr>
        <w:t xml:space="preserve">Gjatë periudhës 2018-2019, lidhur me prioritetet </w:t>
      </w:r>
      <w:r w:rsidRPr="00EE2DE7">
        <w:rPr>
          <w:rFonts w:eastAsia="Tw Cen MT"/>
          <w:bCs/>
          <w:kern w:val="24"/>
        </w:rPr>
        <w:t xml:space="preserve">afatshkurtra dhe afatmesme të parashikuara në planin strategjik të Shkollës së Magjistraturës ky program </w:t>
      </w:r>
      <w:r>
        <w:rPr>
          <w:rFonts w:eastAsia="Tw Cen MT"/>
          <w:bCs/>
          <w:kern w:val="24"/>
        </w:rPr>
        <w:t>ka në fokus përparësitë e mëposhtme</w:t>
      </w:r>
      <w:r w:rsidRPr="00EE2DE7">
        <w:rPr>
          <w:rFonts w:eastAsia="Tw Cen MT"/>
          <w:bCs/>
          <w:kern w:val="24"/>
        </w:rPr>
        <w:t>:</w:t>
      </w:r>
    </w:p>
    <w:p w:rsidR="009F23E3" w:rsidRPr="00EE2DE7" w:rsidRDefault="009F23E3" w:rsidP="009F23E3">
      <w:pPr>
        <w:spacing w:line="276" w:lineRule="auto"/>
        <w:ind w:firstLine="720"/>
        <w:jc w:val="both"/>
        <w:rPr>
          <w:rFonts w:eastAsia="Tw Cen MT"/>
          <w:kern w:val="24"/>
        </w:rPr>
      </w:pPr>
      <w:r w:rsidRPr="00EE2DE7">
        <w:rPr>
          <w:rFonts w:eastAsia="Tw Cen MT"/>
          <w:kern w:val="24"/>
        </w:rPr>
        <w:t>1. Shkolla do të vazhdojë të publikojë revistën “</w:t>
      </w:r>
      <w:r w:rsidRPr="00770974">
        <w:rPr>
          <w:rFonts w:eastAsia="Tw Cen MT"/>
          <w:i/>
          <w:kern w:val="24"/>
        </w:rPr>
        <w:t>Jeta Juridike</w:t>
      </w:r>
      <w:r w:rsidRPr="00EE2DE7">
        <w:rPr>
          <w:rFonts w:eastAsia="Tw Cen MT"/>
          <w:kern w:val="24"/>
        </w:rPr>
        <w:t>” me tr</w:t>
      </w:r>
      <w:r>
        <w:rPr>
          <w:rFonts w:eastAsia="Tw Cen MT"/>
          <w:kern w:val="24"/>
        </w:rPr>
        <w:t>i</w:t>
      </w:r>
      <w:r w:rsidRPr="00EE2DE7">
        <w:rPr>
          <w:rFonts w:eastAsia="Tw Cen MT"/>
          <w:kern w:val="24"/>
        </w:rPr>
        <w:t xml:space="preserve"> numra në vit dhe të ndërmarrë hapa për ta përmirësuar atë duke nxitur juristët me përvojë (jo vetëm gjyqtarë dhe prokurorë) për të dhënë kontributin e tyre.</w:t>
      </w:r>
    </w:p>
    <w:p w:rsidR="009F23E3" w:rsidRPr="00EE2DE7" w:rsidRDefault="009F23E3" w:rsidP="009F23E3">
      <w:pPr>
        <w:spacing w:line="276" w:lineRule="auto"/>
        <w:ind w:firstLine="720"/>
        <w:jc w:val="both"/>
        <w:rPr>
          <w:rFonts w:eastAsia="Tw Cen MT"/>
          <w:kern w:val="24"/>
        </w:rPr>
      </w:pPr>
      <w:r w:rsidRPr="00EE2DE7">
        <w:rPr>
          <w:rFonts w:eastAsia="Tw Cen MT"/>
          <w:kern w:val="24"/>
        </w:rPr>
        <w:t>2. Po ashtu, do të vazhdojë botimin e revistës “</w:t>
      </w:r>
      <w:r w:rsidRPr="00770974">
        <w:rPr>
          <w:rFonts w:eastAsia="Tw Cen MT"/>
          <w:i/>
          <w:kern w:val="24"/>
        </w:rPr>
        <w:t>Magjistrati</w:t>
      </w:r>
      <w:r w:rsidRPr="00EE2DE7">
        <w:rPr>
          <w:rFonts w:eastAsia="Tw Cen MT"/>
          <w:kern w:val="24"/>
        </w:rPr>
        <w:t>” me botime të temave të kandidatëve për magjistratë të vitit të dytë.</w:t>
      </w:r>
    </w:p>
    <w:p w:rsidR="009F23E3" w:rsidRPr="00EE2DE7" w:rsidRDefault="009F23E3" w:rsidP="009F23E3">
      <w:pPr>
        <w:spacing w:line="276" w:lineRule="auto"/>
        <w:ind w:firstLine="720"/>
        <w:jc w:val="both"/>
        <w:rPr>
          <w:rFonts w:eastAsia="Tw Cen MT"/>
          <w:kern w:val="24"/>
        </w:rPr>
      </w:pPr>
      <w:r w:rsidRPr="00EE2DE7">
        <w:rPr>
          <w:rFonts w:eastAsia="Tw Cen MT"/>
          <w:kern w:val="24"/>
        </w:rPr>
        <w:t xml:space="preserve">3. Mendohet të nisim botime në </w:t>
      </w:r>
      <w:r>
        <w:rPr>
          <w:rFonts w:eastAsia="Tw Cen MT"/>
          <w:kern w:val="24"/>
        </w:rPr>
        <w:t>format digjital të periodikëve “</w:t>
      </w:r>
      <w:r w:rsidRPr="00770974">
        <w:rPr>
          <w:rFonts w:eastAsia="Tw Cen MT"/>
          <w:i/>
          <w:kern w:val="24"/>
        </w:rPr>
        <w:t>Magjistrati</w:t>
      </w:r>
      <w:r>
        <w:rPr>
          <w:rFonts w:eastAsia="Tw Cen MT"/>
          <w:kern w:val="24"/>
        </w:rPr>
        <w:t>”</w:t>
      </w:r>
      <w:r w:rsidRPr="00EE2DE7">
        <w:rPr>
          <w:rFonts w:eastAsia="Tw Cen MT"/>
          <w:kern w:val="24"/>
        </w:rPr>
        <w:t xml:space="preserve"> dhe </w:t>
      </w:r>
      <w:r>
        <w:rPr>
          <w:rFonts w:eastAsia="Tw Cen MT"/>
          <w:kern w:val="24"/>
        </w:rPr>
        <w:t>“</w:t>
      </w:r>
      <w:r w:rsidRPr="00770974">
        <w:rPr>
          <w:rFonts w:eastAsia="Tw Cen MT"/>
          <w:i/>
          <w:kern w:val="24"/>
        </w:rPr>
        <w:t>Jeta Juridike</w:t>
      </w:r>
      <w:r>
        <w:rPr>
          <w:rFonts w:eastAsia="Tw Cen MT"/>
          <w:kern w:val="24"/>
        </w:rPr>
        <w:t>”</w:t>
      </w:r>
      <w:r w:rsidRPr="00EE2DE7">
        <w:rPr>
          <w:rFonts w:eastAsia="Tw Cen MT"/>
          <w:kern w:val="24"/>
        </w:rPr>
        <w:t>.</w:t>
      </w:r>
    </w:p>
    <w:p w:rsidR="009F23E3" w:rsidRPr="00EE2DE7" w:rsidRDefault="009F23E3" w:rsidP="009F23E3">
      <w:pPr>
        <w:spacing w:line="276" w:lineRule="auto"/>
        <w:ind w:firstLine="720"/>
        <w:jc w:val="both"/>
        <w:rPr>
          <w:rFonts w:eastAsia="Tw Cen MT"/>
          <w:kern w:val="24"/>
        </w:rPr>
      </w:pPr>
      <w:r w:rsidRPr="00EE2DE7">
        <w:rPr>
          <w:rFonts w:eastAsia="Tw Cen MT"/>
          <w:kern w:val="24"/>
        </w:rPr>
        <w:t>4. Përfshirja e gjyqtarëve dhe prokurorëve në fushën e publikimeve dhe forcimi i punës kërkimore-shkencore.</w:t>
      </w:r>
    </w:p>
    <w:p w:rsidR="009F23E3" w:rsidRPr="00EE2DE7" w:rsidRDefault="009F23E3" w:rsidP="009F23E3">
      <w:pPr>
        <w:spacing w:line="276" w:lineRule="auto"/>
        <w:ind w:firstLine="720"/>
        <w:jc w:val="both"/>
        <w:rPr>
          <w:rFonts w:eastAsia="Tw Cen MT"/>
          <w:kern w:val="24"/>
        </w:rPr>
      </w:pPr>
      <w:r w:rsidRPr="00EE2DE7">
        <w:rPr>
          <w:rFonts w:eastAsia="Tw Cen MT"/>
          <w:kern w:val="24"/>
        </w:rPr>
        <w:t>5. Shkolla e Magjistraturës do të botojë, nën emrin dhe kujdesin e saj, tekstet dhe librat të cilët trajtojnë probleme ligjore të lidhura ngushtë me programet e lëndëve dhe kurseve të Trajnimit Fillestar e Vazhdues të gjyqtarëve dhe prokurorëve, duke synuar në unifikimin dhe analizimin e praktikës gjyqësore dhe juridike kombëtare e ndërkombëtare.</w:t>
      </w:r>
    </w:p>
    <w:p w:rsidR="009F23E3" w:rsidRPr="00EE2DE7" w:rsidRDefault="009F23E3" w:rsidP="009F23E3">
      <w:pPr>
        <w:spacing w:line="276" w:lineRule="auto"/>
        <w:ind w:firstLine="720"/>
        <w:jc w:val="both"/>
        <w:rPr>
          <w:rFonts w:eastAsia="Tw Cen MT"/>
          <w:kern w:val="24"/>
        </w:rPr>
      </w:pPr>
      <w:r w:rsidRPr="00EE2DE7">
        <w:rPr>
          <w:rFonts w:eastAsia="Tw Cen MT"/>
          <w:kern w:val="24"/>
        </w:rPr>
        <w:t>6. Përditësimi i Rregullores së Botimeve dhe revistës “</w:t>
      </w:r>
      <w:r w:rsidRPr="00902A3C">
        <w:rPr>
          <w:rFonts w:eastAsia="Tw Cen MT"/>
          <w:i/>
          <w:kern w:val="24"/>
        </w:rPr>
        <w:t>Jeta Juridike</w:t>
      </w:r>
      <w:r w:rsidRPr="00EE2DE7">
        <w:rPr>
          <w:rFonts w:eastAsia="Tw Cen MT"/>
          <w:kern w:val="24"/>
        </w:rPr>
        <w:t>”, me qëllim rritjen e cilësisë së këtyre botimeve.</w:t>
      </w:r>
    </w:p>
    <w:p w:rsidR="009F23E3" w:rsidRPr="00EE2DE7" w:rsidRDefault="009F23E3" w:rsidP="009F23E3">
      <w:pPr>
        <w:spacing w:line="276" w:lineRule="auto"/>
        <w:ind w:firstLine="720"/>
        <w:jc w:val="both"/>
        <w:rPr>
          <w:rFonts w:eastAsia="Tw Cen MT"/>
          <w:kern w:val="24"/>
        </w:rPr>
      </w:pPr>
      <w:r w:rsidRPr="00EE2DE7">
        <w:rPr>
          <w:rFonts w:eastAsia="Tw Cen MT"/>
          <w:kern w:val="24"/>
        </w:rPr>
        <w:t>7. Një prioritet mbetet dhe rishikimi i teksteve ligjore ekzistuese dhe bërja e një plani për botimin e leksioneve, manualeve</w:t>
      </w:r>
      <w:r>
        <w:rPr>
          <w:rFonts w:eastAsia="Tw Cen MT"/>
          <w:kern w:val="24"/>
        </w:rPr>
        <w:t>;</w:t>
      </w:r>
      <w:r w:rsidRPr="00EE2DE7">
        <w:rPr>
          <w:rFonts w:eastAsia="Tw Cen MT"/>
          <w:kern w:val="24"/>
        </w:rPr>
        <w:t xml:space="preserve"> përgatitjen e teksteve më thelbësore që mungojnë, përditësimin e atyre që ekzistojnë dhe krijimin e një liste të teksteve të huaja që konsiderohen të dobishme. Përgatitja e librave, manualeve, kurseve dhe moduleve për lëndë, apo tema që trajtohen në procesin e Formimit Fillestar të magjistratëve. Motivimi dhe trajnimi i kandidatëve për magjistratë për të hulumtuar dhe shkruar ese e tema me qëllim botimin e punimeve më të mira ose të pjesëve të tyre. Pjesë e rëndësishme e aktivitetit të Departamentit të Botimeve do të jetë edhe botimi i temave të trajtuara në kuadër të Programit të Formimit Vazhdues. </w:t>
      </w:r>
    </w:p>
    <w:p w:rsidR="009F23E3" w:rsidRPr="00EE2DE7" w:rsidRDefault="009F23E3" w:rsidP="009F23E3">
      <w:pPr>
        <w:tabs>
          <w:tab w:val="left" w:pos="900"/>
          <w:tab w:val="left" w:pos="1080"/>
        </w:tabs>
        <w:spacing w:line="276" w:lineRule="auto"/>
        <w:jc w:val="both"/>
        <w:rPr>
          <w:rFonts w:eastAsia="Tw Cen MT"/>
          <w:kern w:val="24"/>
        </w:rPr>
      </w:pPr>
      <w:r>
        <w:rPr>
          <w:rFonts w:eastAsia="Tw Cen MT"/>
          <w:kern w:val="24"/>
        </w:rPr>
        <w:tab/>
      </w:r>
      <w:r w:rsidRPr="00EE2DE7">
        <w:rPr>
          <w:rFonts w:eastAsia="Tw Cen MT"/>
          <w:kern w:val="24"/>
        </w:rPr>
        <w:t xml:space="preserve">8. Një nga synimet e Shkollës në këtë fushë është botimi i librave me </w:t>
      </w:r>
      <w:r>
        <w:rPr>
          <w:rFonts w:eastAsia="Tw Cen MT"/>
          <w:kern w:val="24"/>
        </w:rPr>
        <w:t>p</w:t>
      </w:r>
      <w:r w:rsidRPr="00EE2DE7">
        <w:rPr>
          <w:rFonts w:eastAsia="Tw Cen MT"/>
          <w:kern w:val="24"/>
        </w:rPr>
        <w:t xml:space="preserve">raktikë </w:t>
      </w:r>
      <w:r>
        <w:rPr>
          <w:rFonts w:eastAsia="Tw Cen MT"/>
          <w:kern w:val="24"/>
        </w:rPr>
        <w:t>g</w:t>
      </w:r>
      <w:r w:rsidRPr="00EE2DE7">
        <w:rPr>
          <w:rFonts w:eastAsia="Tw Cen MT"/>
          <w:kern w:val="24"/>
        </w:rPr>
        <w:t>jyqësore (Case study) për Trajnimin Fillestar.</w:t>
      </w:r>
    </w:p>
    <w:p w:rsidR="009F23E3" w:rsidRDefault="009F23E3" w:rsidP="009F23E3">
      <w:pPr>
        <w:spacing w:line="276" w:lineRule="auto"/>
        <w:ind w:firstLine="720"/>
        <w:jc w:val="both"/>
      </w:pPr>
      <w:r w:rsidRPr="00EE2DE7">
        <w:rPr>
          <w:rFonts w:eastAsia="Tw Cen MT"/>
          <w:kern w:val="24"/>
        </w:rPr>
        <w:lastRenderedPageBreak/>
        <w:t>9.</w:t>
      </w:r>
      <w:r w:rsidRPr="00EE2DE7">
        <w:rPr>
          <w:i/>
        </w:rPr>
        <w:t xml:space="preserve"> </w:t>
      </w:r>
      <w:r w:rsidRPr="00EE2DE7">
        <w:t>Sigurimi i a</w:t>
      </w:r>
      <w:r>
        <w:t>ksesit</w:t>
      </w:r>
      <w:r w:rsidRPr="00EE2DE7">
        <w:t xml:space="preserve"> n</w:t>
      </w:r>
      <w:r>
        <w:t>ë të</w:t>
      </w:r>
      <w:r w:rsidRPr="00EE2DE7">
        <w:t xml:space="preserve"> gjitha </w:t>
      </w:r>
      <w:r>
        <w:t>portalet dhe bazat e të</w:t>
      </w:r>
      <w:r w:rsidRPr="00EE2DE7">
        <w:t xml:space="preserve"> dhënave ligjore.</w:t>
      </w:r>
      <w:r>
        <w:t xml:space="preserve"> </w:t>
      </w:r>
    </w:p>
    <w:p w:rsidR="009F23E3" w:rsidRPr="00EE2DE7" w:rsidRDefault="009F23E3" w:rsidP="009F23E3">
      <w:pPr>
        <w:spacing w:line="276" w:lineRule="auto"/>
        <w:ind w:firstLine="720"/>
        <w:jc w:val="both"/>
        <w:rPr>
          <w:rFonts w:eastAsia="Tw Cen MT"/>
          <w:kern w:val="24"/>
        </w:rPr>
      </w:pPr>
      <w:r w:rsidRPr="00EE2DE7">
        <w:rPr>
          <w:rFonts w:eastAsia="Tw Cen MT"/>
          <w:kern w:val="24"/>
        </w:rPr>
        <w:t>10. Ngritjen e një qendre burimore për të drejtën e</w:t>
      </w:r>
      <w:r>
        <w:rPr>
          <w:rFonts w:eastAsia="Tw Cen MT"/>
          <w:kern w:val="24"/>
        </w:rPr>
        <w:t>u</w:t>
      </w:r>
      <w:r w:rsidRPr="00EE2DE7">
        <w:rPr>
          <w:rFonts w:eastAsia="Tw Cen MT"/>
          <w:kern w:val="24"/>
        </w:rPr>
        <w:t>ropiane, në shërbim të sistemit të drejtësisë në Shqipëri.</w:t>
      </w:r>
    </w:p>
    <w:p w:rsidR="009F23E3" w:rsidRPr="00EE2DE7" w:rsidRDefault="009F23E3" w:rsidP="009F23E3">
      <w:pPr>
        <w:spacing w:line="276" w:lineRule="auto"/>
        <w:ind w:firstLine="720"/>
        <w:jc w:val="both"/>
      </w:pPr>
      <w:r w:rsidRPr="00EE2DE7">
        <w:rPr>
          <w:rFonts w:eastAsia="Tw Cen MT"/>
          <w:kern w:val="24"/>
        </w:rPr>
        <w:t>11.</w:t>
      </w:r>
      <w:r w:rsidRPr="00EE2DE7">
        <w:rPr>
          <w:i/>
        </w:rPr>
        <w:t xml:space="preserve"> </w:t>
      </w:r>
      <w:r w:rsidRPr="00EE2DE7">
        <w:t xml:space="preserve">Krijimin e hapësirave për </w:t>
      </w:r>
      <w:r>
        <w:t>studim duke mbajtur  një bibliotekë moderne me fond të</w:t>
      </w:r>
      <w:r w:rsidRPr="00EE2DE7">
        <w:t xml:space="preserve"> gjerë dhe multimedial.</w:t>
      </w:r>
    </w:p>
    <w:p w:rsidR="009F23E3" w:rsidRPr="00EE2DE7" w:rsidRDefault="009F23E3" w:rsidP="009F23E3">
      <w:pPr>
        <w:spacing w:line="276" w:lineRule="auto"/>
        <w:jc w:val="both"/>
        <w:rPr>
          <w:rFonts w:eastAsia="Tw Cen MT"/>
          <w:kern w:val="24"/>
        </w:rPr>
      </w:pPr>
    </w:p>
    <w:p w:rsidR="009F23E3" w:rsidRPr="007C25A6" w:rsidRDefault="009F23E3" w:rsidP="007C25A6">
      <w:pPr>
        <w:spacing w:line="276" w:lineRule="auto"/>
        <w:contextualSpacing/>
        <w:outlineLvl w:val="1"/>
        <w:rPr>
          <w:b/>
          <w:noProof/>
          <w:color w:val="CC9966" w:themeColor="accent2"/>
          <w:sz w:val="32"/>
          <w:lang w:eastAsia="en-US"/>
        </w:rPr>
      </w:pPr>
      <w:r w:rsidRPr="009F23E3">
        <w:rPr>
          <w:b/>
          <w:noProof/>
          <w:color w:val="CC9966" w:themeColor="accent2"/>
          <w:sz w:val="32"/>
          <w:lang w:eastAsia="en-US"/>
        </w:rPr>
        <w:t>6.4</w:t>
      </w:r>
      <w:r>
        <w:rPr>
          <w:b/>
          <w:noProof/>
          <w:color w:val="CC9966" w:themeColor="accent2"/>
          <w:sz w:val="32"/>
          <w:lang w:eastAsia="en-US"/>
        </w:rPr>
        <w:t>.</w:t>
      </w:r>
      <w:r w:rsidRPr="009F23E3">
        <w:rPr>
          <w:b/>
          <w:noProof/>
          <w:color w:val="CC9966" w:themeColor="accent2"/>
          <w:sz w:val="32"/>
          <w:lang w:eastAsia="en-US"/>
        </w:rPr>
        <w:t xml:space="preserve"> Biblioteka </w:t>
      </w:r>
    </w:p>
    <w:p w:rsidR="009F23E3" w:rsidRPr="00EE2DE7" w:rsidRDefault="009F23E3" w:rsidP="009F23E3">
      <w:pPr>
        <w:spacing w:line="276" w:lineRule="auto"/>
        <w:jc w:val="both"/>
        <w:rPr>
          <w:rFonts w:eastAsia="Tw Cen MT"/>
          <w:kern w:val="24"/>
        </w:rPr>
      </w:pPr>
      <w:r w:rsidRPr="00EE2DE7">
        <w:rPr>
          <w:rFonts w:eastAsia="Tw Cen MT"/>
          <w:kern w:val="24"/>
        </w:rPr>
        <w:t>Zhvillimi dhe përmirësimi i vazhdueshëm i bibliotekës, e cila është thelbësore për magjistratët që kryejnë Formimin Fillestar dhe Vazhdues, si edhe qenien e një burimi për të diplomuarit (në rastin tonë për gjyqtarët dhe prokurorët) dhe të tjerët është prioritet i Shkollës. Prioritetet tona afatshkurtra, për bibliotekën përfshijnë përdorimin e teknologjive elektronike, pasurimin e bibliotekës me materiale shqiptare dhe të huaja për të përballuar kurset e reja që do të zhvillohen dhe zhvillimin e thellimin e lidhjeve tona me bibliotekat e shkollave e</w:t>
      </w:r>
      <w:r>
        <w:rPr>
          <w:rFonts w:eastAsia="Tw Cen MT"/>
          <w:kern w:val="24"/>
        </w:rPr>
        <w:t>u</w:t>
      </w:r>
      <w:r w:rsidRPr="00EE2DE7">
        <w:rPr>
          <w:rFonts w:eastAsia="Tw Cen MT"/>
          <w:kern w:val="24"/>
        </w:rPr>
        <w:t>ropiane të magjistraturës dhe institucioneve të tjera ligjore.</w:t>
      </w:r>
    </w:p>
    <w:p w:rsidR="009F23E3" w:rsidRPr="00EE2DE7" w:rsidRDefault="009F23E3" w:rsidP="007C25A6">
      <w:pPr>
        <w:spacing w:line="276" w:lineRule="auto"/>
        <w:ind w:firstLine="720"/>
        <w:jc w:val="both"/>
        <w:rPr>
          <w:rFonts w:eastAsia="Tw Cen MT"/>
          <w:kern w:val="24"/>
          <w:lang w:eastAsia="ja-JP"/>
        </w:rPr>
      </w:pPr>
      <w:r w:rsidRPr="00EE2DE7">
        <w:rPr>
          <w:rFonts w:eastAsia="Tw Cen MT"/>
          <w:kern w:val="24"/>
        </w:rPr>
        <w:t xml:space="preserve"> Prioritet do të jetë sigurimi i aksesit në biblioteka</w:t>
      </w:r>
      <w:r>
        <w:rPr>
          <w:rFonts w:eastAsia="Tw Cen MT"/>
          <w:kern w:val="24"/>
        </w:rPr>
        <w:t>t</w:t>
      </w:r>
      <w:r w:rsidRPr="00EE2DE7">
        <w:rPr>
          <w:rFonts w:eastAsia="Tw Cen MT"/>
          <w:kern w:val="24"/>
        </w:rPr>
        <w:t xml:space="preserve"> digjitale. Synojmë gjithashtu krijimin e një koleksioni digjital të bibliotekës nëpërmjet digjitalizimi</w:t>
      </w:r>
      <w:r>
        <w:rPr>
          <w:rFonts w:eastAsia="Tw Cen MT"/>
          <w:kern w:val="24"/>
        </w:rPr>
        <w:t>t</w:t>
      </w:r>
      <w:r w:rsidRPr="00EE2DE7">
        <w:rPr>
          <w:rFonts w:eastAsia="Tw Cen MT"/>
          <w:kern w:val="24"/>
        </w:rPr>
        <w:t xml:space="preserve"> </w:t>
      </w:r>
      <w:r>
        <w:rPr>
          <w:rFonts w:eastAsia="Tw Cen MT"/>
          <w:kern w:val="24"/>
        </w:rPr>
        <w:t>të</w:t>
      </w:r>
      <w:r w:rsidRPr="00EE2DE7">
        <w:rPr>
          <w:rFonts w:eastAsia="Tw Cen MT"/>
          <w:kern w:val="24"/>
        </w:rPr>
        <w:t xml:space="preserve"> formatit të librit për  botime që janë nën të drejtën tonë të autorit dhe që janë prodhim i Shkollës së Magjistraturës. Funksionimi në vazhdim i platformës E-</w:t>
      </w:r>
      <w:r>
        <w:rPr>
          <w:rFonts w:eastAsia="Tw Cen MT"/>
          <w:kern w:val="24"/>
        </w:rPr>
        <w:t>l</w:t>
      </w:r>
      <w:r w:rsidRPr="00EE2DE7">
        <w:rPr>
          <w:rFonts w:eastAsia="Tw Cen MT"/>
          <w:kern w:val="24"/>
        </w:rPr>
        <w:t>earning mund të krijojë mundësinë për ngritjen e një koleksioni multimedial si pjesë e ve</w:t>
      </w:r>
      <w:r w:rsidRPr="00EE2DE7">
        <w:rPr>
          <w:rFonts w:eastAsia="Tw Cen MT"/>
          <w:kern w:val="24"/>
          <w:lang w:eastAsia="ja-JP"/>
        </w:rPr>
        <w:t>çantë e fondit të bibliotekës. Një koleksion multimedial përb</w:t>
      </w:r>
      <w:r>
        <w:rPr>
          <w:rFonts w:eastAsia="Tw Cen MT"/>
          <w:kern w:val="24"/>
          <w:lang w:eastAsia="ja-JP"/>
        </w:rPr>
        <w:t>ë</w:t>
      </w:r>
      <w:r w:rsidRPr="00EE2DE7">
        <w:rPr>
          <w:rFonts w:eastAsia="Tw Cen MT"/>
          <w:kern w:val="24"/>
          <w:lang w:eastAsia="ja-JP"/>
        </w:rPr>
        <w:t xml:space="preserve">het nga regjistrime në video të trajnimeve apo leksioneve të veçanta të ruajtura në server apo CD. Përdoruesit e bibliotekës do </w:t>
      </w:r>
      <w:r>
        <w:rPr>
          <w:rFonts w:eastAsia="Tw Cen MT"/>
          <w:kern w:val="24"/>
          <w:lang w:eastAsia="ja-JP"/>
        </w:rPr>
        <w:t xml:space="preserve">të </w:t>
      </w:r>
      <w:r w:rsidRPr="00EE2DE7">
        <w:rPr>
          <w:rFonts w:eastAsia="Tw Cen MT"/>
          <w:kern w:val="24"/>
          <w:lang w:eastAsia="ja-JP"/>
        </w:rPr>
        <w:t>mund të aksesonin trajnime me interes pavarësisht mospjesëmarrjes së tyre në ditën e zhvillimit të tyre.</w:t>
      </w:r>
      <w:r w:rsidR="007C25A6">
        <w:rPr>
          <w:rFonts w:eastAsia="Tw Cen MT"/>
          <w:kern w:val="24"/>
          <w:lang w:eastAsia="ja-JP"/>
        </w:rPr>
        <w:t xml:space="preserve"> </w:t>
      </w:r>
      <w:r>
        <w:rPr>
          <w:rFonts w:eastAsia="Tw Cen MT"/>
          <w:kern w:val="24"/>
        </w:rPr>
        <w:t>Në bibliotekë do t’i kushtojmë përpjekje</w:t>
      </w:r>
      <w:r w:rsidRPr="00EE2DE7">
        <w:rPr>
          <w:rFonts w:eastAsia="Tw Cen MT"/>
          <w:kern w:val="24"/>
        </w:rPr>
        <w:t xml:space="preserve"> katalogimit të burimeve tona në përputhje me </w:t>
      </w:r>
      <w:r w:rsidRPr="00EE2DE7">
        <w:rPr>
          <w:rFonts w:eastAsia="Tw Cen MT"/>
          <w:kern w:val="24"/>
        </w:rPr>
        <w:t>praktikat standarde të bibliotekave, duke vazhduar të shfrytëzojmë teknologjitë e reja, duke qenë një shërbim efikas mbështetjeje për sektorët ose departamentet e reja për botim dhe punë kërkimore.</w:t>
      </w:r>
    </w:p>
    <w:p w:rsidR="009F23E3" w:rsidRDefault="009F23E3" w:rsidP="009F23E3">
      <w:pPr>
        <w:spacing w:line="276" w:lineRule="auto"/>
        <w:ind w:firstLine="720"/>
        <w:jc w:val="both"/>
        <w:rPr>
          <w:rFonts w:eastAsia="Tw Cen MT"/>
          <w:kern w:val="24"/>
        </w:rPr>
      </w:pPr>
      <w:r w:rsidRPr="00EE2DE7">
        <w:rPr>
          <w:rFonts w:eastAsia="Tw Cen MT"/>
          <w:kern w:val="24"/>
        </w:rPr>
        <w:t>Do të vazhdojë regjistrimi bibliografik i gjithë fondit të bibliotekës në bazën lokale të të dhënave bibliografike, pjesë e sistemit COBISS.net, një sistem i regjistrimit bibliografik dhe katalogimit të përbashkët online për E</w:t>
      </w:r>
      <w:r>
        <w:rPr>
          <w:rFonts w:eastAsia="Tw Cen MT"/>
          <w:kern w:val="24"/>
        </w:rPr>
        <w:t>u</w:t>
      </w:r>
      <w:r w:rsidRPr="00EE2DE7">
        <w:rPr>
          <w:rFonts w:eastAsia="Tw Cen MT"/>
          <w:kern w:val="24"/>
        </w:rPr>
        <w:t>ropën Juglindore. </w:t>
      </w:r>
    </w:p>
    <w:p w:rsidR="009F23E3" w:rsidRPr="009F23E3" w:rsidRDefault="009F23E3" w:rsidP="009F23E3">
      <w:pPr>
        <w:spacing w:line="276" w:lineRule="auto"/>
        <w:ind w:firstLine="720"/>
        <w:jc w:val="both"/>
        <w:rPr>
          <w:rFonts w:eastAsia="Tw Cen MT"/>
          <w:kern w:val="24"/>
        </w:rPr>
      </w:pPr>
    </w:p>
    <w:p w:rsidR="009F23E3" w:rsidRPr="007C25A6" w:rsidRDefault="009F23E3" w:rsidP="007C25A6">
      <w:pPr>
        <w:spacing w:line="276" w:lineRule="auto"/>
        <w:contextualSpacing/>
        <w:outlineLvl w:val="1"/>
        <w:rPr>
          <w:b/>
          <w:noProof/>
          <w:color w:val="CC9966" w:themeColor="accent2"/>
          <w:sz w:val="32"/>
          <w:lang w:eastAsia="en-US"/>
        </w:rPr>
      </w:pPr>
      <w:r w:rsidRPr="009F23E3">
        <w:rPr>
          <w:b/>
          <w:noProof/>
          <w:color w:val="CC9966" w:themeColor="accent2"/>
          <w:sz w:val="32"/>
          <w:lang w:eastAsia="en-US"/>
        </w:rPr>
        <w:t>6.5</w:t>
      </w:r>
      <w:r>
        <w:rPr>
          <w:b/>
          <w:noProof/>
          <w:color w:val="CC9966" w:themeColor="accent2"/>
          <w:sz w:val="32"/>
          <w:lang w:eastAsia="en-US"/>
        </w:rPr>
        <w:t>.</w:t>
      </w:r>
      <w:r w:rsidRPr="009F23E3">
        <w:rPr>
          <w:b/>
          <w:noProof/>
          <w:color w:val="CC9966" w:themeColor="accent2"/>
          <w:sz w:val="32"/>
          <w:lang w:eastAsia="en-US"/>
        </w:rPr>
        <w:t xml:space="preserve"> Avancimi i Teknologjisë së Informacionit</w:t>
      </w:r>
    </w:p>
    <w:p w:rsidR="009F23E3" w:rsidRPr="00902A3C" w:rsidRDefault="009F23E3" w:rsidP="007D1F0E">
      <w:pPr>
        <w:spacing w:line="276" w:lineRule="auto"/>
        <w:jc w:val="both"/>
        <w:rPr>
          <w:rFonts w:eastAsia="Tw Cen MT"/>
          <w:bCs/>
          <w:kern w:val="24"/>
        </w:rPr>
      </w:pPr>
      <w:r>
        <w:rPr>
          <w:rFonts w:eastAsia="Tw Cen MT"/>
          <w:kern w:val="24"/>
        </w:rPr>
        <w:t xml:space="preserve">Për periudhën </w:t>
      </w:r>
      <w:r w:rsidRPr="00EE2DE7">
        <w:rPr>
          <w:rFonts w:eastAsia="Tw Cen MT"/>
          <w:kern w:val="24"/>
        </w:rPr>
        <w:t xml:space="preserve"> 2018-2019</w:t>
      </w:r>
      <w:r>
        <w:rPr>
          <w:rFonts w:eastAsia="Tw Cen MT"/>
          <w:kern w:val="24"/>
        </w:rPr>
        <w:t>:</w:t>
      </w:r>
    </w:p>
    <w:p w:rsidR="009F23E3" w:rsidRPr="00EE2DE7" w:rsidRDefault="009F23E3" w:rsidP="009F23E3">
      <w:pPr>
        <w:numPr>
          <w:ilvl w:val="0"/>
          <w:numId w:val="47"/>
        </w:numPr>
        <w:spacing w:line="276" w:lineRule="auto"/>
        <w:jc w:val="both"/>
        <w:rPr>
          <w:rFonts w:eastAsia="Tw Cen MT"/>
          <w:kern w:val="24"/>
        </w:rPr>
      </w:pPr>
      <w:r w:rsidRPr="00EE2DE7">
        <w:rPr>
          <w:rFonts w:eastAsia="Tw Cen MT"/>
          <w:kern w:val="24"/>
        </w:rPr>
        <w:t xml:space="preserve">Është hedhur ideja për </w:t>
      </w:r>
      <w:r w:rsidRPr="00EE2DE7">
        <w:rPr>
          <w:rFonts w:eastAsia="Tw Cen MT"/>
          <w:b/>
          <w:kern w:val="24"/>
        </w:rPr>
        <w:t>digjitalizimin e formatit të librit</w:t>
      </w:r>
      <w:r w:rsidRPr="00EE2DE7">
        <w:rPr>
          <w:rFonts w:eastAsia="Tw Cen MT"/>
          <w:kern w:val="24"/>
        </w:rPr>
        <w:t xml:space="preserve"> (një pjesë </w:t>
      </w:r>
      <w:r>
        <w:rPr>
          <w:rFonts w:eastAsia="Tw Cen MT"/>
          <w:kern w:val="24"/>
        </w:rPr>
        <w:t>e</w:t>
      </w:r>
      <w:r w:rsidRPr="00EE2DE7">
        <w:rPr>
          <w:rFonts w:eastAsia="Tw Cen MT"/>
          <w:kern w:val="24"/>
        </w:rPr>
        <w:t xml:space="preserve"> tyre), që nënkupton se do të hidhen online ato botime që janë nën të drejtën tonë të autorit dhe që janë prodhim i Shkollës së Magjistraturës, pa cenuar të drejtën e autorit të botimeve të tjera.</w:t>
      </w:r>
    </w:p>
    <w:p w:rsidR="009F23E3" w:rsidRPr="00EE2DE7" w:rsidRDefault="009F23E3" w:rsidP="009F23E3">
      <w:pPr>
        <w:numPr>
          <w:ilvl w:val="0"/>
          <w:numId w:val="47"/>
        </w:numPr>
        <w:spacing w:line="276" w:lineRule="auto"/>
        <w:jc w:val="both"/>
        <w:rPr>
          <w:rFonts w:eastAsia="Tw Cen MT"/>
          <w:kern w:val="24"/>
        </w:rPr>
      </w:pPr>
      <w:r w:rsidRPr="00EE2DE7">
        <w:rPr>
          <w:rFonts w:eastAsia="Tw Cen MT"/>
          <w:kern w:val="24"/>
        </w:rPr>
        <w:t xml:space="preserve">Krijimi i </w:t>
      </w:r>
      <w:r w:rsidRPr="00EE2DE7">
        <w:rPr>
          <w:rFonts w:eastAsia="Tw Cen MT"/>
          <w:b/>
          <w:kern w:val="24"/>
        </w:rPr>
        <w:t>një platforme për Formimin Fillestar,</w:t>
      </w:r>
      <w:r w:rsidRPr="00EE2DE7">
        <w:rPr>
          <w:rFonts w:eastAsia="Tw Cen MT"/>
          <w:kern w:val="24"/>
        </w:rPr>
        <w:t xml:space="preserve"> ku studentët dhe pedagogët të kenë një komunikim online për sa i përket temave, detyrave të kursit, zhvillimit të forumeve me pyetje etj. Gjithashtu, kjo do të mundësojë dhe vlerësimin në mënyrë elektronike dhe të fshehtë të magjistratëve dhe njohjen me rezultatin në kohë më të shpejtë.</w:t>
      </w:r>
    </w:p>
    <w:p w:rsidR="009F23E3" w:rsidRPr="00EE2DE7" w:rsidRDefault="009F23E3" w:rsidP="009F23E3">
      <w:pPr>
        <w:numPr>
          <w:ilvl w:val="0"/>
          <w:numId w:val="47"/>
        </w:numPr>
        <w:spacing w:line="276" w:lineRule="auto"/>
        <w:jc w:val="both"/>
        <w:rPr>
          <w:rFonts w:eastAsia="Tw Cen MT"/>
          <w:kern w:val="24"/>
        </w:rPr>
      </w:pPr>
      <w:r w:rsidRPr="00EE2DE7">
        <w:rPr>
          <w:rFonts w:eastAsia="Tw Cen MT"/>
          <w:kern w:val="24"/>
        </w:rPr>
        <w:t xml:space="preserve">Bashkëveprimi me kompani të huaja për të pasur akses në </w:t>
      </w:r>
      <w:r w:rsidRPr="00EE2DE7">
        <w:rPr>
          <w:rFonts w:eastAsia="Tw Cen MT"/>
          <w:b/>
          <w:kern w:val="24"/>
        </w:rPr>
        <w:t>module që realizojnë procesin e plagjiaturës</w:t>
      </w:r>
      <w:r w:rsidRPr="00EE2DE7">
        <w:rPr>
          <w:rFonts w:eastAsia="Tw Cen MT"/>
          <w:kern w:val="24"/>
        </w:rPr>
        <w:t xml:space="preserve"> së një shkrimi akademik.</w:t>
      </w:r>
    </w:p>
    <w:p w:rsidR="009F23E3" w:rsidRPr="00EE2DE7" w:rsidRDefault="009F23E3" w:rsidP="009F23E3">
      <w:pPr>
        <w:numPr>
          <w:ilvl w:val="0"/>
          <w:numId w:val="47"/>
        </w:numPr>
        <w:spacing w:line="276" w:lineRule="auto"/>
        <w:jc w:val="both"/>
        <w:rPr>
          <w:rFonts w:eastAsia="Tw Cen MT"/>
          <w:kern w:val="24"/>
        </w:rPr>
      </w:pPr>
      <w:r w:rsidRPr="00EE2DE7">
        <w:rPr>
          <w:rFonts w:eastAsia="Tw Cen MT"/>
          <w:kern w:val="24"/>
        </w:rPr>
        <w:t>Upgrade i rrjetit të brendshëm të Shkollës së Magjistraturës në 1 Gbps. Kjo realizohet me vendosjen e një switch-i me porta 1 Gbps.</w:t>
      </w:r>
    </w:p>
    <w:p w:rsidR="009F23E3" w:rsidRPr="00EE2DE7" w:rsidRDefault="009F23E3" w:rsidP="009F23E3">
      <w:pPr>
        <w:numPr>
          <w:ilvl w:val="0"/>
          <w:numId w:val="47"/>
        </w:numPr>
        <w:spacing w:line="276" w:lineRule="auto"/>
        <w:jc w:val="both"/>
        <w:rPr>
          <w:rFonts w:eastAsia="Tw Cen MT"/>
          <w:kern w:val="24"/>
        </w:rPr>
      </w:pPr>
      <w:r w:rsidRPr="00EE2DE7">
        <w:rPr>
          <w:rFonts w:eastAsia="Tw Cen MT"/>
          <w:kern w:val="24"/>
        </w:rPr>
        <w:t>Instalimi i një centrali telefonik digjital dhe kalimi i linjave telefonike nga analog</w:t>
      </w:r>
      <w:r>
        <w:rPr>
          <w:rFonts w:eastAsia="Tw Cen MT"/>
          <w:kern w:val="24"/>
        </w:rPr>
        <w:t>e</w:t>
      </w:r>
      <w:r w:rsidRPr="00EE2DE7">
        <w:rPr>
          <w:rFonts w:eastAsia="Tw Cen MT"/>
          <w:kern w:val="24"/>
        </w:rPr>
        <w:t xml:space="preserve"> në digjital</w:t>
      </w:r>
      <w:r>
        <w:rPr>
          <w:rFonts w:eastAsia="Tw Cen MT"/>
          <w:kern w:val="24"/>
        </w:rPr>
        <w:t>e</w:t>
      </w:r>
      <w:r w:rsidRPr="00EE2DE7">
        <w:rPr>
          <w:rFonts w:eastAsia="Tw Cen MT"/>
          <w:kern w:val="24"/>
        </w:rPr>
        <w:t>.</w:t>
      </w:r>
    </w:p>
    <w:p w:rsidR="009F23E3" w:rsidRPr="00EE2DE7" w:rsidRDefault="009F23E3" w:rsidP="009F23E3">
      <w:pPr>
        <w:spacing w:after="200" w:line="276" w:lineRule="auto"/>
        <w:jc w:val="both"/>
        <w:rPr>
          <w:rFonts w:eastAsia="Tw Cen MT"/>
          <w:kern w:val="24"/>
        </w:rPr>
      </w:pPr>
    </w:p>
    <w:p w:rsidR="007D1F0E" w:rsidRDefault="007D1F0E" w:rsidP="00386F89">
      <w:pPr>
        <w:spacing w:line="276" w:lineRule="auto"/>
        <w:jc w:val="both"/>
        <w:rPr>
          <w:b/>
          <w:color w:val="CC9966" w:themeColor="accent2"/>
          <w:sz w:val="32"/>
        </w:rPr>
        <w:sectPr w:rsidR="007D1F0E" w:rsidSect="007D1F0E">
          <w:type w:val="continuous"/>
          <w:pgSz w:w="12240" w:h="15840" w:code="1"/>
          <w:pgMar w:top="990" w:right="990" w:bottom="1620" w:left="990" w:header="360" w:footer="371" w:gutter="0"/>
          <w:cols w:num="2" w:space="708"/>
          <w:docGrid w:linePitch="360"/>
        </w:sectPr>
      </w:pPr>
    </w:p>
    <w:p w:rsidR="009F23E3" w:rsidRPr="006621AA" w:rsidRDefault="009F23E3" w:rsidP="0092132A">
      <w:pPr>
        <w:spacing w:line="276" w:lineRule="auto"/>
        <w:jc w:val="both"/>
        <w:rPr>
          <w:b/>
          <w:color w:val="CC9966" w:themeColor="accent2"/>
          <w:sz w:val="32"/>
        </w:rPr>
      </w:pPr>
    </w:p>
    <w:sectPr w:rsidR="009F23E3" w:rsidRPr="006621AA"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3AE0" w:rsidRDefault="00CF3AE0">
      <w:r>
        <w:separator/>
      </w:r>
    </w:p>
  </w:endnote>
  <w:endnote w:type="continuationSeparator" w:id="0">
    <w:p w:rsidR="00CF3AE0" w:rsidRDefault="00CF3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Batang">
    <w:altName w:val="Malgun Gothic Semilight"/>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72E3" w:rsidRPr="006621AA" w:rsidRDefault="00CF3AE0" w:rsidP="00B70876">
    <w:pPr>
      <w:pStyle w:val="Footer"/>
      <w:tabs>
        <w:tab w:val="clear" w:pos="4677"/>
        <w:tab w:val="center" w:pos="2160"/>
      </w:tabs>
      <w:jc w:val="right"/>
      <w:rPr>
        <w:noProof/>
      </w:rPr>
    </w:pPr>
    <w:r>
      <w:rPr>
        <w:noProof/>
        <w:lang w:eastAsia="en-US"/>
      </w:rPr>
      <w:pict>
        <v:shapetype id="_x0000_t202" coordsize="21600,21600" o:spt="202" path="m,l,21600r21600,l21600,xe">
          <v:stroke joinstyle="miter"/>
          <v:path gradientshapeok="t" o:connecttype="rect"/>
        </v:shapetype>
        <v:shape id="_x0000_s2051" type="#_x0000_t202" style="position:absolute;left:0;text-align:left;margin-left:-33.3pt;margin-top:-.25pt;width:168pt;height:49.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DBktgIAALw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" filled="f" stroked="f">
          <v:textbox>
            <w:txbxContent>
              <w:p w:rsidR="005372E3" w:rsidRPr="00097121" w:rsidRDefault="005372E3" w:rsidP="00132A79">
                <w:pPr>
                  <w:rPr>
                    <w:color w:val="999966" w:themeColor="accent3"/>
                    <w:sz w:val="28"/>
                    <w:szCs w:val="68"/>
                  </w:rPr>
                </w:pPr>
                <w:r>
                  <w:rPr>
                    <w:color w:val="999966" w:themeColor="accent3"/>
                    <w:sz w:val="28"/>
                    <w:szCs w:val="68"/>
                  </w:rPr>
                  <w:t xml:space="preserve">   Shkolla e </w:t>
                </w:r>
                <w:r w:rsidRPr="00097121">
                  <w:rPr>
                    <w:color w:val="999966" w:themeColor="accent3"/>
                    <w:sz w:val="28"/>
                    <w:szCs w:val="68"/>
                  </w:rPr>
                  <w:t>Magjistratur</w:t>
                </w:r>
                <w:r w:rsidRPr="00A32124">
                  <w:rPr>
                    <w:color w:val="999966" w:themeColor="accent3"/>
                    <w:sz w:val="28"/>
                    <w:szCs w:val="68"/>
                  </w:rPr>
                  <w:t>ë</w:t>
                </w:r>
                <w:r w:rsidRPr="00097121">
                  <w:rPr>
                    <w:color w:val="999966" w:themeColor="accent3"/>
                    <w:sz w:val="28"/>
                    <w:szCs w:val="68"/>
                  </w:rPr>
                  <w:t>s</w:t>
                </w:r>
              </w:p>
              <w:p w:rsidR="005372E3" w:rsidRPr="006621AA" w:rsidRDefault="005372E3" w:rsidP="00097121">
                <w:pPr>
                  <w:rPr>
                    <w:color w:val="999966" w:themeColor="accent3"/>
                    <w:sz w:val="18"/>
                    <w:szCs w:val="38"/>
                  </w:rPr>
                </w:pPr>
              </w:p>
            </w:txbxContent>
          </v:textbox>
        </v:shape>
      </w:pict>
    </w:r>
    <w:r>
      <w:rPr>
        <w:noProof/>
        <w:lang w:eastAsia="en-US"/>
      </w:rPr>
      <w:pict>
        <v:shape id="_x0000_s2050" type="#_x0000_t202" style="position:absolute;left:0;text-align:left;margin-left:258.3pt;margin-top:-.25pt;width:244.05pt;height:45.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4V/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" filled="f" stroked="f">
          <v:textbox>
            <w:txbxContent>
              <w:p w:rsidR="005372E3" w:rsidRPr="006621AA" w:rsidRDefault="005372E3" w:rsidP="001E0398">
                <w:pPr>
                  <w:pStyle w:val="Footer"/>
                  <w:tabs>
                    <w:tab w:val="clear" w:pos="4677"/>
                    <w:tab w:val="center" w:pos="2160"/>
                  </w:tabs>
                  <w:ind w:right="540"/>
                </w:pPr>
                <w:r>
                  <w:rPr>
                    <w:color w:val="000000"/>
                  </w:rPr>
                  <w:t xml:space="preserve">                   Raporti Akademik 2017-2018</w:t>
                </w:r>
              </w:p>
              <w:p w:rsidR="005372E3" w:rsidRPr="006621AA" w:rsidRDefault="005372E3" w:rsidP="001E0398">
                <w:pPr>
                  <w:rPr>
                    <w:color w:val="999966" w:themeColor="accent3"/>
                    <w:sz w:val="18"/>
                    <w:szCs w:val="38"/>
                  </w:rPr>
                </w:pPr>
              </w:p>
            </w:txbxContent>
          </v:textbox>
        </v:shape>
      </w:pict>
    </w:r>
    <w:r>
      <w:rPr>
        <w:noProof/>
        <w:lang w:eastAsia="en-US"/>
      </w:rPr>
      <w:pict>
        <v:rect id="Rectangle 12" o:spid="_x0000_s2049" style="position:absolute;left:0;text-align:left;margin-left:-21.3pt;margin-top:-18.8pt;width:556.1pt;height:3.5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" fillcolor="#4f81bd" stroked="f" strokeweight="2pt"/>
      </w:pict>
    </w:r>
    <w:r w:rsidR="005372E3" w:rsidRPr="006621AA">
      <w:rPr>
        <w:noProof/>
      </w:rPr>
      <w:fldChar w:fldCharType="begin"/>
    </w:r>
    <w:r w:rsidR="005372E3" w:rsidRPr="006621AA">
      <w:rPr>
        <w:noProof/>
      </w:rPr>
      <w:instrText xml:space="preserve"> PAGE </w:instrText>
    </w:r>
    <w:r w:rsidR="005372E3" w:rsidRPr="006621AA">
      <w:rPr>
        <w:noProof/>
      </w:rPr>
      <w:fldChar w:fldCharType="separate"/>
    </w:r>
    <w:r w:rsidR="007D5A1A">
      <w:rPr>
        <w:noProof/>
      </w:rPr>
      <w:t>1</w:t>
    </w:r>
    <w:r w:rsidR="005372E3" w:rsidRPr="006621AA">
      <w:rPr>
        <w:noProof/>
      </w:rPr>
      <w:fldChar w:fldCharType="end"/>
    </w:r>
  </w:p>
  <w:p w:rsidR="005372E3" w:rsidRPr="006621AA" w:rsidRDefault="005372E3" w:rsidP="002D2E2F">
    <w:pPr>
      <w:pStyle w:val="Footer"/>
      <w:tabs>
        <w:tab w:val="clear" w:pos="4677"/>
        <w:tab w:val="center" w:pos="2160"/>
      </w:tabs>
      <w:ind w:left="540" w:right="540"/>
    </w:pPr>
  </w:p>
  <w:p w:rsidR="005372E3" w:rsidRPr="006621AA" w:rsidRDefault="005372E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3AE0" w:rsidRDefault="00CF3AE0">
      <w:r>
        <w:separator/>
      </w:r>
    </w:p>
  </w:footnote>
  <w:footnote w:type="continuationSeparator" w:id="0">
    <w:p w:rsidR="00CF3AE0" w:rsidRDefault="00CF3AE0">
      <w:r>
        <w:continuationSeparator/>
      </w:r>
    </w:p>
  </w:footnote>
  <w:footnote w:id="1">
    <w:p w:rsidR="005372E3" w:rsidRPr="009A01C5" w:rsidRDefault="005372E3" w:rsidP="00B02831">
      <w:pPr>
        <w:pStyle w:val="FootnoteText"/>
        <w:jc w:val="both"/>
        <w:rPr>
          <w:rFonts w:ascii="Times New Roman" w:hAnsi="Times New Roman"/>
          <w:sz w:val="20"/>
        </w:rPr>
      </w:pPr>
      <w:r w:rsidRPr="009A01C5">
        <w:rPr>
          <w:rStyle w:val="FootnoteReference"/>
          <w:rFonts w:ascii="Times New Roman" w:hAnsi="Times New Roman"/>
          <w:sz w:val="20"/>
        </w:rPr>
        <w:footnoteRef/>
      </w:r>
      <w:r w:rsidRPr="009A01C5">
        <w:rPr>
          <w:rFonts w:ascii="Times New Roman" w:hAnsi="Times New Roman"/>
          <w:sz w:val="20"/>
        </w:rPr>
        <w:t xml:space="preserve"> Skema e vlerësimit e miratuar nga Këshilli Pedagogjik  me procesverbalin nr. 153 prot., datë 11.3.2014, si dhe nga Këshilli Drejtues me vendimin nr. 7, datë 7.5.2014.</w:t>
      </w:r>
    </w:p>
  </w:footnote>
  <w:footnote w:id="2">
    <w:p w:rsidR="005372E3" w:rsidRPr="009A01C5" w:rsidRDefault="005372E3" w:rsidP="00EF53DA">
      <w:pPr>
        <w:jc w:val="both"/>
        <w:rPr>
          <w:sz w:val="20"/>
          <w:szCs w:val="20"/>
        </w:rPr>
      </w:pPr>
      <w:r w:rsidRPr="009A01C5">
        <w:rPr>
          <w:rStyle w:val="FootnoteReference"/>
          <w:sz w:val="20"/>
          <w:szCs w:val="20"/>
        </w:rPr>
        <w:footnoteRef/>
      </w:r>
      <w:r w:rsidRPr="009A01C5">
        <w:rPr>
          <w:sz w:val="20"/>
          <w:szCs w:val="20"/>
        </w:rPr>
        <w:t xml:space="preserve"> Sipas Aneksit 10 të Rregullores së Brendshme të Shkollës së Magjistraturës, vlerësimi është miratuar me vendimin       nr. 15, datë 29.6.2017 të Këshillit Drejtues.</w:t>
      </w:r>
    </w:p>
    <w:p w:rsidR="005372E3" w:rsidRPr="009A01C5" w:rsidRDefault="005372E3" w:rsidP="00EF53DA">
      <w:pPr>
        <w:pStyle w:val="FootnoteText"/>
        <w:rPr>
          <w:rFonts w:ascii="Times New Roman" w:hAnsi="Times New Roman"/>
          <w:sz w:val="20"/>
        </w:rPr>
      </w:pPr>
    </w:p>
  </w:footnote>
  <w:footnote w:id="3">
    <w:p w:rsidR="005372E3" w:rsidRPr="009A01C5" w:rsidRDefault="005372E3" w:rsidP="009D4032">
      <w:pPr>
        <w:pStyle w:val="FootnoteText"/>
        <w:jc w:val="both"/>
        <w:rPr>
          <w:rFonts w:ascii="Times New Roman" w:hAnsi="Times New Roman"/>
          <w:sz w:val="20"/>
        </w:rPr>
      </w:pPr>
      <w:r w:rsidRPr="009A01C5">
        <w:rPr>
          <w:rStyle w:val="FootnoteReference"/>
          <w:rFonts w:ascii="Times New Roman" w:hAnsi="Times New Roman"/>
          <w:sz w:val="20"/>
        </w:rPr>
        <w:footnoteRef/>
      </w:r>
      <w:r w:rsidRPr="009A01C5">
        <w:rPr>
          <w:rFonts w:ascii="Times New Roman" w:hAnsi="Times New Roman"/>
          <w:sz w:val="20"/>
        </w:rPr>
        <w:t xml:space="preserve"> Të gjitha aktivitetet e zhvilluara me partnerët ndërkombëtarë janë të përfshira në Aneksin 3 të këtij raporti.</w:t>
      </w:r>
    </w:p>
  </w:footnote>
  <w:footnote w:id="4">
    <w:p w:rsidR="005372E3" w:rsidRPr="009A01C5" w:rsidRDefault="005372E3" w:rsidP="009D4032">
      <w:pPr>
        <w:pStyle w:val="FootnoteText"/>
        <w:jc w:val="both"/>
        <w:rPr>
          <w:rFonts w:ascii="Times New Roman" w:hAnsi="Times New Roman"/>
          <w:sz w:val="20"/>
        </w:rPr>
      </w:pPr>
      <w:r w:rsidRPr="009A01C5">
        <w:rPr>
          <w:rStyle w:val="FootnoteReference"/>
          <w:rFonts w:ascii="Times New Roman" w:hAnsi="Times New Roman"/>
          <w:sz w:val="20"/>
        </w:rPr>
        <w:footnoteRef/>
      </w:r>
      <w:r w:rsidRPr="009A01C5">
        <w:rPr>
          <w:rFonts w:ascii="Times New Roman" w:hAnsi="Times New Roman"/>
          <w:sz w:val="20"/>
        </w:rPr>
        <w:t xml:space="preserve"> N</w:t>
      </w:r>
      <w:r w:rsidRPr="009A01C5">
        <w:rPr>
          <w:rFonts w:ascii="Times New Roman" w:eastAsia="Times New Roman" w:hAnsi="Times New Roman"/>
          <w:sz w:val="20"/>
        </w:rPr>
        <w:t>jë kopje të CV-së së tyre ose të kolegut të sugjeruar duke specifikuar eksperiencën si gjyqtar/prokuror dhe trajnimet e marra, shkrimet akademike në fushë; titullin e temës, çështjes apo nënçështjes që mendojnë të trajtojnë; metodologjinë e trajnimit që do të përdorin (p.sh. duke përdorur raste problemore e hipotetike, diskutime në grupe të vogla, demonstrime, simulime, pyetësorë paraprakë për të testuar njohuritë e auditorit, mjetet audiovizive etj.); një përshkrim (të shkurtër) problemor të çështjeve të kursit trajnues apo çështjes që kanë zgjedhur (mini modul).</w:t>
      </w:r>
    </w:p>
  </w:footnote>
  <w:footnote w:id="5">
    <w:p w:rsidR="005372E3" w:rsidRPr="009A01C5" w:rsidRDefault="005372E3" w:rsidP="008B30BD">
      <w:pPr>
        <w:pStyle w:val="FootnoteText"/>
        <w:rPr>
          <w:rFonts w:ascii="Times New Roman" w:hAnsi="Times New Roman"/>
          <w:sz w:val="20"/>
        </w:rPr>
      </w:pPr>
      <w:r w:rsidRPr="009A01C5">
        <w:rPr>
          <w:rStyle w:val="FootnoteReference"/>
          <w:rFonts w:ascii="Times New Roman" w:hAnsi="Times New Roman"/>
          <w:sz w:val="20"/>
        </w:rPr>
        <w:footnoteRef/>
      </w:r>
      <w:r w:rsidRPr="009A01C5">
        <w:rPr>
          <w:rFonts w:ascii="Times New Roman" w:hAnsi="Times New Roman"/>
          <w:sz w:val="20"/>
        </w:rPr>
        <w:t xml:space="preserve"> Shih marrëveshjen me lehtësuesit dhe ekspertët për sa më sipër.</w:t>
      </w:r>
    </w:p>
  </w:footnote>
  <w:footnote w:id="6">
    <w:p w:rsidR="005372E3" w:rsidRPr="009A01C5" w:rsidRDefault="005372E3" w:rsidP="008D2205">
      <w:pPr>
        <w:pStyle w:val="FootnoteText"/>
        <w:jc w:val="both"/>
        <w:rPr>
          <w:rFonts w:ascii="Times New Roman" w:hAnsi="Times New Roman"/>
          <w:sz w:val="20"/>
        </w:rPr>
      </w:pPr>
      <w:r w:rsidRPr="009A01C5">
        <w:rPr>
          <w:rStyle w:val="FootnoteReference"/>
          <w:rFonts w:ascii="Times New Roman" w:hAnsi="Times New Roman"/>
          <w:b/>
          <w:sz w:val="20"/>
        </w:rPr>
        <w:footnoteRef/>
      </w:r>
      <w:r w:rsidRPr="009A01C5">
        <w:rPr>
          <w:rFonts w:ascii="Times New Roman" w:hAnsi="Times New Roman"/>
          <w:sz w:val="20"/>
        </w:rPr>
        <w:t xml:space="preserve"> Sa i përket datave të trajnimit, me shpalljen e tyre, ndryshimi lidhet vetëm në raste përjashtimore dhe shumë të justifikuara që lidhen me ekspertët ose probleme të pjesëmarrjes. Në të dyja rastet, ndryshimi mbështetet në arsye objektive dhe të pa parashikuara që mund të lindin gjatë zbatimit të këtij kalendari.</w:t>
      </w:r>
    </w:p>
  </w:footnote>
  <w:footnote w:id="7">
    <w:p w:rsidR="005372E3" w:rsidRPr="009A01C5" w:rsidRDefault="005372E3" w:rsidP="008D2205">
      <w:pPr>
        <w:pStyle w:val="FootnoteText"/>
        <w:jc w:val="both"/>
        <w:rPr>
          <w:rFonts w:ascii="Times New Roman" w:hAnsi="Times New Roman"/>
          <w:sz w:val="20"/>
        </w:rPr>
      </w:pPr>
      <w:r w:rsidRPr="009A01C5">
        <w:rPr>
          <w:rStyle w:val="FootnoteReference"/>
          <w:rFonts w:ascii="Times New Roman" w:hAnsi="Times New Roman"/>
          <w:sz w:val="20"/>
        </w:rPr>
        <w:footnoteRef/>
      </w:r>
      <w:r w:rsidRPr="009A01C5">
        <w:rPr>
          <w:rFonts w:ascii="Times New Roman" w:hAnsi="Times New Roman"/>
          <w:sz w:val="20"/>
        </w:rPr>
        <w:t xml:space="preserve"> Në çdo temë, ekspertët dhe lehtësuesit, do të bëjnë kujdes të sjellin problematikën aktuale si nga këndvështrimi i doktrinës, jurisprudencës shqiptare, ndryshimeve ligjore ashtu edhe të standardeve ndërkombëtare dhe jurisprudencës së GJEDNJ-së e GJED-së sipas rastit.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11F88"/>
    <w:multiLevelType w:val="hybridMultilevel"/>
    <w:tmpl w:val="6E0098B2"/>
    <w:lvl w:ilvl="0" w:tplc="62920A56">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172128C"/>
    <w:multiLevelType w:val="hybridMultilevel"/>
    <w:tmpl w:val="44D042D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B464FE"/>
    <w:multiLevelType w:val="hybridMultilevel"/>
    <w:tmpl w:val="A3D0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83186"/>
    <w:multiLevelType w:val="hybridMultilevel"/>
    <w:tmpl w:val="CBC6DF20"/>
    <w:lvl w:ilvl="0" w:tplc="729A0E98">
      <w:start w:val="1"/>
      <w:numFmt w:val="decimal"/>
      <w:lvlText w:val="%1."/>
      <w:lvlJc w:val="left"/>
      <w:pPr>
        <w:ind w:left="720" w:hanging="360"/>
      </w:pPr>
      <w:rPr>
        <w:rFonts w:ascii="Times New Roman" w:eastAsia="Calibri" w:hAnsi="Times New Roman" w:cs="Times New Roman"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B67874"/>
    <w:multiLevelType w:val="hybridMultilevel"/>
    <w:tmpl w:val="485EB380"/>
    <w:lvl w:ilvl="0" w:tplc="5ED8211A">
      <w:start w:val="1"/>
      <w:numFmt w:val="lowerLetter"/>
      <w:lvlText w:val="%1)"/>
      <w:lvlJc w:val="left"/>
      <w:pPr>
        <w:ind w:left="1080" w:hanging="360"/>
      </w:pPr>
      <w:rPr>
        <w:rFonts w:eastAsia="Arial Unicode M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2806AC"/>
    <w:multiLevelType w:val="hybridMultilevel"/>
    <w:tmpl w:val="C7D2578A"/>
    <w:lvl w:ilvl="0" w:tplc="8CBA50E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 w15:restartNumberingAfterBreak="0">
    <w:nsid w:val="1F9D0686"/>
    <w:multiLevelType w:val="hybridMultilevel"/>
    <w:tmpl w:val="75D01458"/>
    <w:lvl w:ilvl="0" w:tplc="D916BCD0">
      <w:start w:val="1"/>
      <w:numFmt w:val="decimal"/>
      <w:lvlText w:val="%1."/>
      <w:lvlJc w:val="left"/>
      <w:pPr>
        <w:tabs>
          <w:tab w:val="num" w:pos="720"/>
        </w:tabs>
        <w:ind w:left="720" w:hanging="360"/>
      </w:pPr>
      <w:rPr>
        <w:rFonts w:hint="default"/>
        <w:b w:val="0"/>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6C740F"/>
    <w:multiLevelType w:val="hybridMultilevel"/>
    <w:tmpl w:val="BD2000B4"/>
    <w:lvl w:ilvl="0" w:tplc="6BCE14BE">
      <w:start w:val="1"/>
      <w:numFmt w:val="bullet"/>
      <w:lvlText w:val=""/>
      <w:lvlJc w:val="left"/>
      <w:pPr>
        <w:tabs>
          <w:tab w:val="num" w:pos="720"/>
        </w:tabs>
        <w:ind w:left="720" w:hanging="360"/>
      </w:pPr>
      <w:rPr>
        <w:rFonts w:ascii="Symbol" w:hAnsi="Symbol" w:hint="default"/>
        <w:strike w:val="0"/>
      </w:rPr>
    </w:lvl>
    <w:lvl w:ilvl="1" w:tplc="F5C40FC8">
      <w:start w:val="1"/>
      <w:numFmt w:val="bullet"/>
      <w:lvlText w:val=""/>
      <w:lvlJc w:val="left"/>
      <w:pPr>
        <w:tabs>
          <w:tab w:val="num" w:pos="1260"/>
        </w:tabs>
        <w:ind w:left="1260" w:hanging="360"/>
      </w:pPr>
      <w:rPr>
        <w:rFonts w:ascii="Wingdings" w:hAnsi="Wingdings" w:hint="default"/>
        <w:strike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9F00A0"/>
    <w:multiLevelType w:val="hybridMultilevel"/>
    <w:tmpl w:val="75443C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C82C05"/>
    <w:multiLevelType w:val="hybridMultilevel"/>
    <w:tmpl w:val="0590A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CF476E"/>
    <w:multiLevelType w:val="hybridMultilevel"/>
    <w:tmpl w:val="35182E44"/>
    <w:lvl w:ilvl="0" w:tplc="04090001">
      <w:start w:val="1"/>
      <w:numFmt w:val="bullet"/>
      <w:lvlText w:val=""/>
      <w:lvlJc w:val="left"/>
      <w:pPr>
        <w:ind w:left="360" w:hanging="360"/>
      </w:pPr>
      <w:rPr>
        <w:rFonts w:ascii="Symbol" w:hAnsi="Symbol" w:hint="default"/>
      </w:rPr>
    </w:lvl>
    <w:lvl w:ilvl="1" w:tplc="041C0003">
      <w:start w:val="1"/>
      <w:numFmt w:val="decimal"/>
      <w:lvlText w:val="%2."/>
      <w:lvlJc w:val="left"/>
      <w:pPr>
        <w:tabs>
          <w:tab w:val="num" w:pos="1440"/>
        </w:tabs>
        <w:ind w:left="1440" w:hanging="360"/>
      </w:pPr>
    </w:lvl>
    <w:lvl w:ilvl="2" w:tplc="041C0005">
      <w:start w:val="1"/>
      <w:numFmt w:val="decimal"/>
      <w:lvlText w:val="%3."/>
      <w:lvlJc w:val="left"/>
      <w:pPr>
        <w:tabs>
          <w:tab w:val="num" w:pos="2160"/>
        </w:tabs>
        <w:ind w:left="2160" w:hanging="360"/>
      </w:pPr>
    </w:lvl>
    <w:lvl w:ilvl="3" w:tplc="041C0001">
      <w:start w:val="1"/>
      <w:numFmt w:val="decimal"/>
      <w:lvlText w:val="%4."/>
      <w:lvlJc w:val="left"/>
      <w:pPr>
        <w:tabs>
          <w:tab w:val="num" w:pos="2880"/>
        </w:tabs>
        <w:ind w:left="2880" w:hanging="360"/>
      </w:pPr>
    </w:lvl>
    <w:lvl w:ilvl="4" w:tplc="041C0003">
      <w:start w:val="1"/>
      <w:numFmt w:val="decimal"/>
      <w:lvlText w:val="%5."/>
      <w:lvlJc w:val="left"/>
      <w:pPr>
        <w:tabs>
          <w:tab w:val="num" w:pos="3600"/>
        </w:tabs>
        <w:ind w:left="3600" w:hanging="360"/>
      </w:pPr>
    </w:lvl>
    <w:lvl w:ilvl="5" w:tplc="041C0005">
      <w:start w:val="1"/>
      <w:numFmt w:val="decimal"/>
      <w:lvlText w:val="%6."/>
      <w:lvlJc w:val="left"/>
      <w:pPr>
        <w:tabs>
          <w:tab w:val="num" w:pos="4320"/>
        </w:tabs>
        <w:ind w:left="4320" w:hanging="360"/>
      </w:pPr>
    </w:lvl>
    <w:lvl w:ilvl="6" w:tplc="041C0001">
      <w:start w:val="1"/>
      <w:numFmt w:val="decimal"/>
      <w:lvlText w:val="%7."/>
      <w:lvlJc w:val="left"/>
      <w:pPr>
        <w:tabs>
          <w:tab w:val="num" w:pos="5040"/>
        </w:tabs>
        <w:ind w:left="5040" w:hanging="360"/>
      </w:pPr>
    </w:lvl>
    <w:lvl w:ilvl="7" w:tplc="041C0003">
      <w:start w:val="1"/>
      <w:numFmt w:val="decimal"/>
      <w:lvlText w:val="%8."/>
      <w:lvlJc w:val="left"/>
      <w:pPr>
        <w:tabs>
          <w:tab w:val="num" w:pos="5760"/>
        </w:tabs>
        <w:ind w:left="5760" w:hanging="360"/>
      </w:pPr>
    </w:lvl>
    <w:lvl w:ilvl="8" w:tplc="041C0005">
      <w:start w:val="1"/>
      <w:numFmt w:val="decimal"/>
      <w:lvlText w:val="%9."/>
      <w:lvlJc w:val="left"/>
      <w:pPr>
        <w:tabs>
          <w:tab w:val="num" w:pos="6480"/>
        </w:tabs>
        <w:ind w:left="6480" w:hanging="360"/>
      </w:pPr>
    </w:lvl>
  </w:abstractNum>
  <w:abstractNum w:abstractNumId="11" w15:restartNumberingAfterBreak="0">
    <w:nsid w:val="22670BFB"/>
    <w:multiLevelType w:val="hybridMultilevel"/>
    <w:tmpl w:val="727222CC"/>
    <w:lvl w:ilvl="0" w:tplc="041C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3510478"/>
    <w:multiLevelType w:val="hybridMultilevel"/>
    <w:tmpl w:val="8F0AE3E0"/>
    <w:lvl w:ilvl="0" w:tplc="041C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8430B5"/>
    <w:multiLevelType w:val="hybridMultilevel"/>
    <w:tmpl w:val="AEB85EB8"/>
    <w:lvl w:ilvl="0" w:tplc="041C000D">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4" w15:restartNumberingAfterBreak="0">
    <w:nsid w:val="26720C31"/>
    <w:multiLevelType w:val="hybridMultilevel"/>
    <w:tmpl w:val="DEFCF898"/>
    <w:lvl w:ilvl="0" w:tplc="8AB6EC22">
      <w:start w:val="1"/>
      <w:numFmt w:val="decimal"/>
      <w:lvlText w:val="%1."/>
      <w:lvlJc w:val="left"/>
      <w:pPr>
        <w:ind w:left="720" w:hanging="360"/>
      </w:pPr>
      <w:rPr>
        <w:rFonts w:ascii="Times New Roman" w:eastAsia="Arial Unicode MS" w:hAnsi="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72206B"/>
    <w:multiLevelType w:val="hybridMultilevel"/>
    <w:tmpl w:val="BAE43EBE"/>
    <w:lvl w:ilvl="0" w:tplc="04090017">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2B6B58EA"/>
    <w:multiLevelType w:val="hybridMultilevel"/>
    <w:tmpl w:val="B80C5742"/>
    <w:lvl w:ilvl="0" w:tplc="041C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7" w15:restartNumberingAfterBreak="0">
    <w:nsid w:val="31430A7F"/>
    <w:multiLevelType w:val="hybridMultilevel"/>
    <w:tmpl w:val="B9B633A0"/>
    <w:lvl w:ilvl="0" w:tplc="041C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18" w15:restartNumberingAfterBreak="0">
    <w:nsid w:val="33C25F56"/>
    <w:multiLevelType w:val="hybridMultilevel"/>
    <w:tmpl w:val="73922932"/>
    <w:lvl w:ilvl="0" w:tplc="22324C0E">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B05D32"/>
    <w:multiLevelType w:val="hybridMultilevel"/>
    <w:tmpl w:val="627E1648"/>
    <w:lvl w:ilvl="0" w:tplc="041C0001">
      <w:start w:val="1"/>
      <w:numFmt w:val="bullet"/>
      <w:lvlText w:val=""/>
      <w:lvlJc w:val="left"/>
      <w:pPr>
        <w:ind w:left="720" w:hanging="360"/>
      </w:pPr>
      <w:rPr>
        <w:rFonts w:ascii="Symbol" w:hAnsi="Symbol" w:hint="default"/>
      </w:rPr>
    </w:lvl>
    <w:lvl w:ilvl="1" w:tplc="041C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261563"/>
    <w:multiLevelType w:val="hybridMultilevel"/>
    <w:tmpl w:val="35AED2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F34C49"/>
    <w:multiLevelType w:val="hybridMultilevel"/>
    <w:tmpl w:val="660A05CE"/>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4C299F"/>
    <w:multiLevelType w:val="hybridMultilevel"/>
    <w:tmpl w:val="C810AB90"/>
    <w:lvl w:ilvl="0" w:tplc="041C0001">
      <w:start w:val="1"/>
      <w:numFmt w:val="bullet"/>
      <w:lvlText w:val=""/>
      <w:lvlJc w:val="left"/>
      <w:pPr>
        <w:ind w:left="720" w:hanging="360"/>
      </w:pPr>
      <w:rPr>
        <w:rFonts w:ascii="Symbol" w:hAnsi="Symbol" w:hint="default"/>
        <w:b/>
      </w:rPr>
    </w:lvl>
    <w:lvl w:ilvl="1" w:tplc="04090019">
      <w:start w:val="1"/>
      <w:numFmt w:val="lowerLetter"/>
      <w:lvlText w:val="%2."/>
      <w:lvlJc w:val="left"/>
      <w:pPr>
        <w:tabs>
          <w:tab w:val="num" w:pos="-3160"/>
        </w:tabs>
        <w:ind w:left="-3160" w:hanging="360"/>
      </w:pPr>
    </w:lvl>
    <w:lvl w:ilvl="2" w:tplc="0409001B" w:tentative="1">
      <w:start w:val="1"/>
      <w:numFmt w:val="lowerRoman"/>
      <w:lvlText w:val="%3."/>
      <w:lvlJc w:val="right"/>
      <w:pPr>
        <w:tabs>
          <w:tab w:val="num" w:pos="-2440"/>
        </w:tabs>
        <w:ind w:left="-2440" w:hanging="180"/>
      </w:pPr>
    </w:lvl>
    <w:lvl w:ilvl="3" w:tplc="0409000F" w:tentative="1">
      <w:start w:val="1"/>
      <w:numFmt w:val="decimal"/>
      <w:lvlText w:val="%4."/>
      <w:lvlJc w:val="left"/>
      <w:pPr>
        <w:tabs>
          <w:tab w:val="num" w:pos="-1720"/>
        </w:tabs>
        <w:ind w:left="-1720" w:hanging="360"/>
      </w:pPr>
    </w:lvl>
    <w:lvl w:ilvl="4" w:tplc="04090019" w:tentative="1">
      <w:start w:val="1"/>
      <w:numFmt w:val="lowerLetter"/>
      <w:lvlText w:val="%5."/>
      <w:lvlJc w:val="left"/>
      <w:pPr>
        <w:tabs>
          <w:tab w:val="num" w:pos="-1000"/>
        </w:tabs>
        <w:ind w:left="-1000" w:hanging="360"/>
      </w:pPr>
    </w:lvl>
    <w:lvl w:ilvl="5" w:tplc="0409001B" w:tentative="1">
      <w:start w:val="1"/>
      <w:numFmt w:val="lowerRoman"/>
      <w:lvlText w:val="%6."/>
      <w:lvlJc w:val="right"/>
      <w:pPr>
        <w:tabs>
          <w:tab w:val="num" w:pos="-280"/>
        </w:tabs>
        <w:ind w:left="-280" w:hanging="180"/>
      </w:pPr>
    </w:lvl>
    <w:lvl w:ilvl="6" w:tplc="0409000F" w:tentative="1">
      <w:start w:val="1"/>
      <w:numFmt w:val="decimal"/>
      <w:lvlText w:val="%7."/>
      <w:lvlJc w:val="left"/>
      <w:pPr>
        <w:tabs>
          <w:tab w:val="num" w:pos="440"/>
        </w:tabs>
        <w:ind w:left="440" w:hanging="360"/>
      </w:pPr>
    </w:lvl>
    <w:lvl w:ilvl="7" w:tplc="04090019" w:tentative="1">
      <w:start w:val="1"/>
      <w:numFmt w:val="lowerLetter"/>
      <w:lvlText w:val="%8."/>
      <w:lvlJc w:val="left"/>
      <w:pPr>
        <w:tabs>
          <w:tab w:val="num" w:pos="1160"/>
        </w:tabs>
        <w:ind w:left="1160" w:hanging="360"/>
      </w:pPr>
    </w:lvl>
    <w:lvl w:ilvl="8" w:tplc="0409001B" w:tentative="1">
      <w:start w:val="1"/>
      <w:numFmt w:val="lowerRoman"/>
      <w:lvlText w:val="%9."/>
      <w:lvlJc w:val="right"/>
      <w:pPr>
        <w:tabs>
          <w:tab w:val="num" w:pos="1880"/>
        </w:tabs>
        <w:ind w:left="1880" w:hanging="180"/>
      </w:pPr>
    </w:lvl>
  </w:abstractNum>
  <w:abstractNum w:abstractNumId="23" w15:restartNumberingAfterBreak="0">
    <w:nsid w:val="40111DDA"/>
    <w:multiLevelType w:val="hybridMultilevel"/>
    <w:tmpl w:val="B8B68DF4"/>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1D38E0"/>
    <w:multiLevelType w:val="hybridMultilevel"/>
    <w:tmpl w:val="5D3C375A"/>
    <w:lvl w:ilvl="0" w:tplc="041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D10E90"/>
    <w:multiLevelType w:val="hybridMultilevel"/>
    <w:tmpl w:val="220C84E2"/>
    <w:lvl w:ilvl="0" w:tplc="EE3027A4">
      <w:start w:val="1"/>
      <w:numFmt w:val="bullet"/>
      <w:lvlText w:val="-"/>
      <w:lvlJc w:val="left"/>
      <w:pPr>
        <w:ind w:left="502" w:hanging="360"/>
      </w:pPr>
      <w:rPr>
        <w:rFonts w:ascii="Bookman Old Style" w:eastAsia="Times New Roman" w:hAnsi="Bookman Old Style" w:cs="Times New Roman"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6" w15:restartNumberingAfterBreak="0">
    <w:nsid w:val="48D97DF0"/>
    <w:multiLevelType w:val="hybridMultilevel"/>
    <w:tmpl w:val="92428068"/>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3B1DDF"/>
    <w:multiLevelType w:val="hybridMultilevel"/>
    <w:tmpl w:val="119C0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8716D1"/>
    <w:multiLevelType w:val="hybridMultilevel"/>
    <w:tmpl w:val="0E7CED9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6D7E78"/>
    <w:multiLevelType w:val="hybridMultilevel"/>
    <w:tmpl w:val="1DCA10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1F7451"/>
    <w:multiLevelType w:val="hybridMultilevel"/>
    <w:tmpl w:val="0CD47C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F06F97"/>
    <w:multiLevelType w:val="hybridMultilevel"/>
    <w:tmpl w:val="AB428F7A"/>
    <w:lvl w:ilvl="0" w:tplc="041C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2" w15:restartNumberingAfterBreak="0">
    <w:nsid w:val="5B174F5F"/>
    <w:multiLevelType w:val="hybridMultilevel"/>
    <w:tmpl w:val="5CA48A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3955A3"/>
    <w:multiLevelType w:val="hybridMultilevel"/>
    <w:tmpl w:val="28303164"/>
    <w:lvl w:ilvl="0" w:tplc="94E0DC2E">
      <w:start w:val="1"/>
      <w:numFmt w:val="lowerLetter"/>
      <w:lvlText w:val="%1)"/>
      <w:lvlJc w:val="center"/>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2C5833"/>
    <w:multiLevelType w:val="hybridMultilevel"/>
    <w:tmpl w:val="3314087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106F4D"/>
    <w:multiLevelType w:val="hybridMultilevel"/>
    <w:tmpl w:val="E3E20864"/>
    <w:lvl w:ilvl="0" w:tplc="8384E028">
      <w:start w:val="4"/>
      <w:numFmt w:val="bullet"/>
      <w:lvlText w:val="-"/>
      <w:lvlJc w:val="left"/>
      <w:pPr>
        <w:ind w:left="1080" w:hanging="360"/>
      </w:pPr>
      <w:rPr>
        <w:rFonts w:ascii="Times New Roman" w:eastAsia="MS Mincho"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DB35D9F"/>
    <w:multiLevelType w:val="hybridMultilevel"/>
    <w:tmpl w:val="C8969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9E78D3"/>
    <w:multiLevelType w:val="multilevel"/>
    <w:tmpl w:val="77F20050"/>
    <w:lvl w:ilvl="0">
      <w:start w:val="1"/>
      <w:numFmt w:val="decimal"/>
      <w:lvlText w:val="%1."/>
      <w:lvlJc w:val="left"/>
      <w:pPr>
        <w:ind w:left="720" w:hanging="360"/>
      </w:pPr>
      <w:rPr>
        <w:b w:val="0"/>
      </w:rPr>
    </w:lvl>
    <w:lvl w:ilvl="1">
      <w:start w:val="1"/>
      <w:numFmt w:val="decimal"/>
      <w:isLgl/>
      <w:lvlText w:val="%1.%2."/>
      <w:lvlJc w:val="left"/>
      <w:pPr>
        <w:ind w:left="1140" w:hanging="780"/>
      </w:pPr>
      <w:rPr>
        <w:rFonts w:hint="default"/>
      </w:rPr>
    </w:lvl>
    <w:lvl w:ilvl="2">
      <w:start w:val="1"/>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61B226D9"/>
    <w:multiLevelType w:val="hybridMultilevel"/>
    <w:tmpl w:val="2AB81ED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1F011B3"/>
    <w:multiLevelType w:val="hybridMultilevel"/>
    <w:tmpl w:val="5BAAE0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88C1657"/>
    <w:multiLevelType w:val="hybridMultilevel"/>
    <w:tmpl w:val="4DF2C838"/>
    <w:lvl w:ilvl="0" w:tplc="FFFFFFFF">
      <w:start w:val="1"/>
      <w:numFmt w:val="bullet"/>
      <w:lvlText w:val=""/>
      <w:lvlJc w:val="left"/>
      <w:pPr>
        <w:tabs>
          <w:tab w:val="num" w:pos="720"/>
        </w:tabs>
        <w:ind w:left="720" w:hanging="360"/>
      </w:pPr>
      <w:rPr>
        <w:rFonts w:ascii="Symbol" w:hAnsi="Symbol" w:hint="default"/>
      </w:rPr>
    </w:lvl>
    <w:lvl w:ilvl="1" w:tplc="96A82EB2">
      <w:start w:val="1"/>
      <w:numFmt w:val="decimal"/>
      <w:lvlText w:val="%2."/>
      <w:lvlJc w:val="left"/>
      <w:pPr>
        <w:tabs>
          <w:tab w:val="num" w:pos="1495"/>
        </w:tabs>
        <w:ind w:left="1495" w:hanging="360"/>
      </w:pPr>
      <w:rPr>
        <w:b/>
      </w:rPr>
    </w:lvl>
    <w:lvl w:ilvl="2" w:tplc="9B0E144C">
      <w:start w:val="1"/>
      <w:numFmt w:val="decimal"/>
      <w:lvlText w:val="%3."/>
      <w:lvlJc w:val="left"/>
      <w:pPr>
        <w:tabs>
          <w:tab w:val="num" w:pos="360"/>
        </w:tabs>
        <w:ind w:left="360" w:hanging="360"/>
      </w:pPr>
      <w:rPr>
        <w:b/>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2" w15:restartNumberingAfterBreak="0">
    <w:nsid w:val="69C32482"/>
    <w:multiLevelType w:val="hybridMultilevel"/>
    <w:tmpl w:val="06D0974E"/>
    <w:lvl w:ilvl="0" w:tplc="041C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43" w15:restartNumberingAfterBreak="0">
    <w:nsid w:val="6DD1282E"/>
    <w:multiLevelType w:val="hybridMultilevel"/>
    <w:tmpl w:val="C610D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3672DD"/>
    <w:multiLevelType w:val="hybridMultilevel"/>
    <w:tmpl w:val="9D4AD1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A942AD"/>
    <w:multiLevelType w:val="hybridMultilevel"/>
    <w:tmpl w:val="92343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253BC3"/>
    <w:multiLevelType w:val="hybridMultilevel"/>
    <w:tmpl w:val="691E26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5"/>
  </w:num>
  <w:num w:numId="3">
    <w:abstractNumId w:val="39"/>
  </w:num>
  <w:num w:numId="4">
    <w:abstractNumId w:val="18"/>
  </w:num>
  <w:num w:numId="5">
    <w:abstractNumId w:val="15"/>
  </w:num>
  <w:num w:numId="6">
    <w:abstractNumId w:val="46"/>
  </w:num>
  <w:num w:numId="7">
    <w:abstractNumId w:val="34"/>
  </w:num>
  <w:num w:numId="8">
    <w:abstractNumId w:val="1"/>
  </w:num>
  <w:num w:numId="9">
    <w:abstractNumId w:val="37"/>
  </w:num>
  <w:num w:numId="10">
    <w:abstractNumId w:val="35"/>
  </w:num>
  <w:num w:numId="1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33"/>
  </w:num>
  <w:num w:numId="14">
    <w:abstractNumId w:val="38"/>
  </w:num>
  <w:num w:numId="15">
    <w:abstractNumId w:val="20"/>
  </w:num>
  <w:num w:numId="16">
    <w:abstractNumId w:val="30"/>
  </w:num>
  <w:num w:numId="17">
    <w:abstractNumId w:val="5"/>
  </w:num>
  <w:num w:numId="18">
    <w:abstractNumId w:val="27"/>
  </w:num>
  <w:num w:numId="19">
    <w:abstractNumId w:val="14"/>
  </w:num>
  <w:num w:numId="20">
    <w:abstractNumId w:val="4"/>
  </w:num>
  <w:num w:numId="21">
    <w:abstractNumId w:val="32"/>
  </w:num>
  <w:num w:numId="22">
    <w:abstractNumId w:val="43"/>
  </w:num>
  <w:num w:numId="23">
    <w:abstractNumId w:val="12"/>
  </w:num>
  <w:num w:numId="24">
    <w:abstractNumId w:val="26"/>
  </w:num>
  <w:num w:numId="25">
    <w:abstractNumId w:val="24"/>
  </w:num>
  <w:num w:numId="26">
    <w:abstractNumId w:val="19"/>
  </w:num>
  <w:num w:numId="27">
    <w:abstractNumId w:val="21"/>
  </w:num>
  <w:num w:numId="28">
    <w:abstractNumId w:val="28"/>
  </w:num>
  <w:num w:numId="29">
    <w:abstractNumId w:val="13"/>
  </w:num>
  <w:num w:numId="30">
    <w:abstractNumId w:val="7"/>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num>
  <w:num w:numId="33">
    <w:abstractNumId w:val="22"/>
  </w:num>
  <w:num w:numId="34">
    <w:abstractNumId w:val="44"/>
  </w:num>
  <w:num w:numId="35">
    <w:abstractNumId w:val="9"/>
  </w:num>
  <w:num w:numId="36">
    <w:abstractNumId w:val="2"/>
  </w:num>
  <w:num w:numId="37">
    <w:abstractNumId w:val="45"/>
  </w:num>
  <w:num w:numId="38">
    <w:abstractNumId w:val="8"/>
  </w:num>
  <w:num w:numId="39">
    <w:abstractNumId w:val="29"/>
  </w:num>
  <w:num w:numId="40">
    <w:abstractNumId w:val="36"/>
  </w:num>
  <w:num w:numId="41">
    <w:abstractNumId w:val="3"/>
  </w:num>
  <w:num w:numId="42">
    <w:abstractNumId w:val="0"/>
  </w:num>
  <w:num w:numId="43">
    <w:abstractNumId w:val="31"/>
  </w:num>
  <w:num w:numId="44">
    <w:abstractNumId w:val="17"/>
  </w:num>
  <w:num w:numId="45">
    <w:abstractNumId w:val="16"/>
  </w:num>
  <w:num w:numId="46">
    <w:abstractNumId w:val="42"/>
  </w:num>
  <w:num w:numId="4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colormru v:ext="edit" colors="#eaeaea,#f8f9fd,#f5c30b,#efa82c,#cd9b17,#f7e8c7,#ff8001,#fad431"/>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3A7A03"/>
    <w:rsid w:val="00000E96"/>
    <w:rsid w:val="000058F1"/>
    <w:rsid w:val="0001543C"/>
    <w:rsid w:val="00022A5D"/>
    <w:rsid w:val="00025F25"/>
    <w:rsid w:val="0003548A"/>
    <w:rsid w:val="00036DBB"/>
    <w:rsid w:val="0005275C"/>
    <w:rsid w:val="000556EF"/>
    <w:rsid w:val="000559B5"/>
    <w:rsid w:val="000571FA"/>
    <w:rsid w:val="000700BE"/>
    <w:rsid w:val="00086D56"/>
    <w:rsid w:val="00092409"/>
    <w:rsid w:val="000963EE"/>
    <w:rsid w:val="00096BDA"/>
    <w:rsid w:val="00097121"/>
    <w:rsid w:val="00097CA5"/>
    <w:rsid w:val="000A0B9C"/>
    <w:rsid w:val="000B2E51"/>
    <w:rsid w:val="000C6CA1"/>
    <w:rsid w:val="000C7B39"/>
    <w:rsid w:val="0010514A"/>
    <w:rsid w:val="00112B87"/>
    <w:rsid w:val="00113A6F"/>
    <w:rsid w:val="00114EA5"/>
    <w:rsid w:val="00132A79"/>
    <w:rsid w:val="001351ED"/>
    <w:rsid w:val="00170756"/>
    <w:rsid w:val="00183A64"/>
    <w:rsid w:val="001955E9"/>
    <w:rsid w:val="001972A7"/>
    <w:rsid w:val="001A17BC"/>
    <w:rsid w:val="001B6E5A"/>
    <w:rsid w:val="001C2B99"/>
    <w:rsid w:val="001C3E2F"/>
    <w:rsid w:val="001D4728"/>
    <w:rsid w:val="001E0398"/>
    <w:rsid w:val="001E2F23"/>
    <w:rsid w:val="001F230C"/>
    <w:rsid w:val="001F452F"/>
    <w:rsid w:val="002208D0"/>
    <w:rsid w:val="00220A22"/>
    <w:rsid w:val="002238EA"/>
    <w:rsid w:val="002478E2"/>
    <w:rsid w:val="00251B35"/>
    <w:rsid w:val="00251FCD"/>
    <w:rsid w:val="00253233"/>
    <w:rsid w:val="00261796"/>
    <w:rsid w:val="002737A9"/>
    <w:rsid w:val="00277ADB"/>
    <w:rsid w:val="002824AE"/>
    <w:rsid w:val="00284CD0"/>
    <w:rsid w:val="00290938"/>
    <w:rsid w:val="00294F47"/>
    <w:rsid w:val="002B4007"/>
    <w:rsid w:val="002C0C61"/>
    <w:rsid w:val="002C7FAA"/>
    <w:rsid w:val="002D2E2F"/>
    <w:rsid w:val="00321111"/>
    <w:rsid w:val="00334CDE"/>
    <w:rsid w:val="00353FCE"/>
    <w:rsid w:val="003754E1"/>
    <w:rsid w:val="0038057F"/>
    <w:rsid w:val="00386F89"/>
    <w:rsid w:val="00392D9B"/>
    <w:rsid w:val="00395555"/>
    <w:rsid w:val="003A78C1"/>
    <w:rsid w:val="003A7A03"/>
    <w:rsid w:val="003B06ED"/>
    <w:rsid w:val="003E46D9"/>
    <w:rsid w:val="003E7455"/>
    <w:rsid w:val="003F320B"/>
    <w:rsid w:val="004060E8"/>
    <w:rsid w:val="004130C9"/>
    <w:rsid w:val="00416318"/>
    <w:rsid w:val="00417ED0"/>
    <w:rsid w:val="004413B9"/>
    <w:rsid w:val="004478A2"/>
    <w:rsid w:val="004556E3"/>
    <w:rsid w:val="004569BD"/>
    <w:rsid w:val="00456B8A"/>
    <w:rsid w:val="00486629"/>
    <w:rsid w:val="00490C12"/>
    <w:rsid w:val="00497BED"/>
    <w:rsid w:val="004A61C2"/>
    <w:rsid w:val="004A73BF"/>
    <w:rsid w:val="004B5F1D"/>
    <w:rsid w:val="004B6956"/>
    <w:rsid w:val="004D6D17"/>
    <w:rsid w:val="004E18FD"/>
    <w:rsid w:val="004E1FD3"/>
    <w:rsid w:val="004E231A"/>
    <w:rsid w:val="004F1EB9"/>
    <w:rsid w:val="004F35D5"/>
    <w:rsid w:val="004F6FD5"/>
    <w:rsid w:val="005245F8"/>
    <w:rsid w:val="005372E3"/>
    <w:rsid w:val="005372FC"/>
    <w:rsid w:val="005521D8"/>
    <w:rsid w:val="00554C33"/>
    <w:rsid w:val="0056063E"/>
    <w:rsid w:val="005659D2"/>
    <w:rsid w:val="00580A29"/>
    <w:rsid w:val="00592170"/>
    <w:rsid w:val="005B397D"/>
    <w:rsid w:val="005C2687"/>
    <w:rsid w:val="005D4644"/>
    <w:rsid w:val="005D5995"/>
    <w:rsid w:val="005E3BF5"/>
    <w:rsid w:val="005F5AE4"/>
    <w:rsid w:val="006001D2"/>
    <w:rsid w:val="006055F7"/>
    <w:rsid w:val="00612F56"/>
    <w:rsid w:val="00613870"/>
    <w:rsid w:val="00613D04"/>
    <w:rsid w:val="00620AD1"/>
    <w:rsid w:val="006226CE"/>
    <w:rsid w:val="00622FDF"/>
    <w:rsid w:val="006526C7"/>
    <w:rsid w:val="00652C74"/>
    <w:rsid w:val="0065314E"/>
    <w:rsid w:val="006621AA"/>
    <w:rsid w:val="00664743"/>
    <w:rsid w:val="0066658E"/>
    <w:rsid w:val="006877B6"/>
    <w:rsid w:val="006945CF"/>
    <w:rsid w:val="00696F52"/>
    <w:rsid w:val="006B053E"/>
    <w:rsid w:val="006B66AB"/>
    <w:rsid w:val="006C7324"/>
    <w:rsid w:val="006D1AD3"/>
    <w:rsid w:val="006D3317"/>
    <w:rsid w:val="006D7D65"/>
    <w:rsid w:val="006F39AB"/>
    <w:rsid w:val="0071799F"/>
    <w:rsid w:val="00734513"/>
    <w:rsid w:val="00751400"/>
    <w:rsid w:val="00755BAF"/>
    <w:rsid w:val="00771302"/>
    <w:rsid w:val="007856B5"/>
    <w:rsid w:val="00785EF6"/>
    <w:rsid w:val="00786C53"/>
    <w:rsid w:val="007A1ED6"/>
    <w:rsid w:val="007B53B8"/>
    <w:rsid w:val="007B7D0C"/>
    <w:rsid w:val="007C25A6"/>
    <w:rsid w:val="007C61A8"/>
    <w:rsid w:val="007D1F0E"/>
    <w:rsid w:val="007D5A1A"/>
    <w:rsid w:val="007D5AC1"/>
    <w:rsid w:val="007D69E5"/>
    <w:rsid w:val="008128BC"/>
    <w:rsid w:val="00813171"/>
    <w:rsid w:val="00815DCC"/>
    <w:rsid w:val="00827355"/>
    <w:rsid w:val="00832378"/>
    <w:rsid w:val="00850708"/>
    <w:rsid w:val="00861F16"/>
    <w:rsid w:val="008946D5"/>
    <w:rsid w:val="008A29F7"/>
    <w:rsid w:val="008B30BD"/>
    <w:rsid w:val="008D2205"/>
    <w:rsid w:val="008D5AE9"/>
    <w:rsid w:val="008F3B12"/>
    <w:rsid w:val="009065E7"/>
    <w:rsid w:val="00911927"/>
    <w:rsid w:val="00916CC1"/>
    <w:rsid w:val="0092132A"/>
    <w:rsid w:val="00937FBE"/>
    <w:rsid w:val="00951419"/>
    <w:rsid w:val="00957114"/>
    <w:rsid w:val="00971410"/>
    <w:rsid w:val="00971CA2"/>
    <w:rsid w:val="0097289A"/>
    <w:rsid w:val="00983AE3"/>
    <w:rsid w:val="009A0EA9"/>
    <w:rsid w:val="009C609F"/>
    <w:rsid w:val="009D3274"/>
    <w:rsid w:val="009D4032"/>
    <w:rsid w:val="009E7CB9"/>
    <w:rsid w:val="009F1CD1"/>
    <w:rsid w:val="009F23E3"/>
    <w:rsid w:val="009F2DC1"/>
    <w:rsid w:val="00A057F1"/>
    <w:rsid w:val="00A123C9"/>
    <w:rsid w:val="00A31738"/>
    <w:rsid w:val="00A32124"/>
    <w:rsid w:val="00A34172"/>
    <w:rsid w:val="00A37E8F"/>
    <w:rsid w:val="00A41A6D"/>
    <w:rsid w:val="00A61293"/>
    <w:rsid w:val="00A62BF0"/>
    <w:rsid w:val="00A700D4"/>
    <w:rsid w:val="00A80198"/>
    <w:rsid w:val="00A826FE"/>
    <w:rsid w:val="00A879B9"/>
    <w:rsid w:val="00A87BD2"/>
    <w:rsid w:val="00A87CEC"/>
    <w:rsid w:val="00A92C90"/>
    <w:rsid w:val="00A93039"/>
    <w:rsid w:val="00AF3BBF"/>
    <w:rsid w:val="00B02831"/>
    <w:rsid w:val="00B11C41"/>
    <w:rsid w:val="00B17236"/>
    <w:rsid w:val="00B20B3E"/>
    <w:rsid w:val="00B24CA3"/>
    <w:rsid w:val="00B267F5"/>
    <w:rsid w:val="00B27682"/>
    <w:rsid w:val="00B3059B"/>
    <w:rsid w:val="00B30707"/>
    <w:rsid w:val="00B30918"/>
    <w:rsid w:val="00B348F7"/>
    <w:rsid w:val="00B3782C"/>
    <w:rsid w:val="00B4127A"/>
    <w:rsid w:val="00B55A6F"/>
    <w:rsid w:val="00B62F80"/>
    <w:rsid w:val="00B70876"/>
    <w:rsid w:val="00B73862"/>
    <w:rsid w:val="00B923B3"/>
    <w:rsid w:val="00B9764F"/>
    <w:rsid w:val="00BA018F"/>
    <w:rsid w:val="00BB7100"/>
    <w:rsid w:val="00BD6627"/>
    <w:rsid w:val="00BE34C5"/>
    <w:rsid w:val="00C057AA"/>
    <w:rsid w:val="00C25407"/>
    <w:rsid w:val="00C3734D"/>
    <w:rsid w:val="00C5291B"/>
    <w:rsid w:val="00C751CB"/>
    <w:rsid w:val="00C75652"/>
    <w:rsid w:val="00C86726"/>
    <w:rsid w:val="00C875D7"/>
    <w:rsid w:val="00C91E9E"/>
    <w:rsid w:val="00CA7B07"/>
    <w:rsid w:val="00CB0577"/>
    <w:rsid w:val="00CB5F47"/>
    <w:rsid w:val="00CD15E6"/>
    <w:rsid w:val="00CF32F1"/>
    <w:rsid w:val="00CF3AE0"/>
    <w:rsid w:val="00CF6B3F"/>
    <w:rsid w:val="00D0460F"/>
    <w:rsid w:val="00D278F8"/>
    <w:rsid w:val="00D3445C"/>
    <w:rsid w:val="00D348B0"/>
    <w:rsid w:val="00D51A5C"/>
    <w:rsid w:val="00D72677"/>
    <w:rsid w:val="00D743D1"/>
    <w:rsid w:val="00D77236"/>
    <w:rsid w:val="00D83470"/>
    <w:rsid w:val="00DA082D"/>
    <w:rsid w:val="00DB4667"/>
    <w:rsid w:val="00DC216E"/>
    <w:rsid w:val="00DD04C0"/>
    <w:rsid w:val="00DD6337"/>
    <w:rsid w:val="00DE1645"/>
    <w:rsid w:val="00DE6575"/>
    <w:rsid w:val="00E053FE"/>
    <w:rsid w:val="00E05802"/>
    <w:rsid w:val="00E06F59"/>
    <w:rsid w:val="00E228D6"/>
    <w:rsid w:val="00E22BEF"/>
    <w:rsid w:val="00E414E3"/>
    <w:rsid w:val="00E41C09"/>
    <w:rsid w:val="00E502A9"/>
    <w:rsid w:val="00E50A29"/>
    <w:rsid w:val="00E55666"/>
    <w:rsid w:val="00E57AC8"/>
    <w:rsid w:val="00E751F9"/>
    <w:rsid w:val="00E86793"/>
    <w:rsid w:val="00E9456D"/>
    <w:rsid w:val="00EA64E4"/>
    <w:rsid w:val="00EB51BE"/>
    <w:rsid w:val="00ED3AF2"/>
    <w:rsid w:val="00EE6C78"/>
    <w:rsid w:val="00EF3D3E"/>
    <w:rsid w:val="00EF53DA"/>
    <w:rsid w:val="00F0441F"/>
    <w:rsid w:val="00F33635"/>
    <w:rsid w:val="00F360ED"/>
    <w:rsid w:val="00F406CE"/>
    <w:rsid w:val="00F56394"/>
    <w:rsid w:val="00F611A4"/>
    <w:rsid w:val="00F635DA"/>
    <w:rsid w:val="00F74D7F"/>
    <w:rsid w:val="00F80448"/>
    <w:rsid w:val="00F9296A"/>
    <w:rsid w:val="00FA42E4"/>
    <w:rsid w:val="00FB40E4"/>
    <w:rsid w:val="00FB435D"/>
    <w:rsid w:val="00FC6C37"/>
    <w:rsid w:val="00FD5515"/>
    <w:rsid w:val="00FD7487"/>
    <w:rsid w:val="00FE45F6"/>
    <w:rsid w:val="00FE506B"/>
    <w:rsid w:val="00FF27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eaeaea,#f8f9fd,#f5c30b,#efa82c,#cd9b17,#f7e8c7,#ff8001,#fad431"/>
    </o:shapedefaults>
    <o:shapelayout v:ext="edit">
      <o:idmap v:ext="edit" data="1"/>
      <o:rules v:ext="edit">
        <o:r id="V:Rule1" type="connector" idref="#Straight Arrow Connector 10"/>
        <o:r id="V:Rule2" type="connector" idref="#Straight Arrow Connector 29"/>
        <o:r id="V:Rule3" type="connector" idref="#Straight Arrow Connector 27"/>
        <o:r id="V:Rule4" type="connector" idref="#Straight Arrow Connector 28"/>
        <o:r id="V:Rule5" type="connector" idref="#Straight Arrow Connector 13"/>
        <o:r id="V:Rule6" type="connector" idref="#Straight Arrow Connector 11"/>
        <o:r id="V:Rule7" type="connector" idref="#Straight Arrow Connector 12"/>
        <o:r id="V:Rule8" type="connector" idref="#Straight Arrow Connector 7"/>
      </o:rules>
    </o:shapelayout>
  </w:shapeDefaults>
  <w:decimalSymbol w:val="."/>
  <w:listSeparator w:val=","/>
  <w14:docId w14:val="1E8644B4"/>
  <w15:docId w15:val="{DA3ED9EB-576A-4049-BFD0-FEA8ABFB1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FBE"/>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386F89"/>
    <w:rPr>
      <w:color w:val="5F3B27" w:themeColor="accent1" w:themeShade="BF"/>
    </w:rPr>
    <w:tblPr>
      <w:tblStyleRowBandSize w:val="1"/>
      <w:tblStyleColBandSize w:val="1"/>
      <w:tblBorders>
        <w:top w:val="single" w:sz="8" w:space="0" w:color="7F5034" w:themeColor="accent1"/>
        <w:bottom w:val="single" w:sz="8" w:space="0" w:color="7F5034" w:themeColor="accent1"/>
      </w:tblBorders>
    </w:tblPr>
    <w:tblStylePr w:type="firstRow">
      <w:pPr>
        <w:spacing w:before="0" w:after="0" w:line="240" w:lineRule="auto"/>
      </w:pPr>
      <w:rPr>
        <w:b/>
        <w:bCs/>
      </w:rPr>
      <w:tblPr/>
      <w:tcPr>
        <w:tcBorders>
          <w:top w:val="single" w:sz="8" w:space="0" w:color="7F5034" w:themeColor="accent1"/>
          <w:left w:val="nil"/>
          <w:bottom w:val="single" w:sz="8" w:space="0" w:color="7F5034" w:themeColor="accent1"/>
          <w:right w:val="nil"/>
          <w:insideH w:val="nil"/>
          <w:insideV w:val="nil"/>
        </w:tcBorders>
      </w:tcPr>
    </w:tblStylePr>
    <w:tblStylePr w:type="lastRow">
      <w:pPr>
        <w:spacing w:before="0" w:after="0" w:line="240" w:lineRule="auto"/>
      </w:pPr>
      <w:rPr>
        <w:b/>
        <w:bCs/>
      </w:rPr>
      <w:tblPr/>
      <w:tcPr>
        <w:tcBorders>
          <w:top w:val="single" w:sz="8" w:space="0" w:color="7F5034" w:themeColor="accent1"/>
          <w:left w:val="nil"/>
          <w:bottom w:val="single" w:sz="8" w:space="0" w:color="7F503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D1C4" w:themeFill="accent1" w:themeFillTint="3F"/>
      </w:tcPr>
    </w:tblStylePr>
    <w:tblStylePr w:type="band1Horz">
      <w:tblPr/>
      <w:tcPr>
        <w:tcBorders>
          <w:left w:val="nil"/>
          <w:right w:val="nil"/>
          <w:insideH w:val="nil"/>
          <w:insideV w:val="nil"/>
        </w:tcBorders>
        <w:shd w:val="clear" w:color="auto" w:fill="E7D1C4" w:themeFill="accent1" w:themeFillTint="3F"/>
      </w:tcPr>
    </w:tblStylePr>
  </w:style>
  <w:style w:type="table" w:customStyle="1" w:styleId="LightList-Accent11">
    <w:name w:val="Light List - Accent 11"/>
    <w:basedOn w:val="TableNormal"/>
    <w:uiPriority w:val="61"/>
    <w:rsid w:val="00DD04C0"/>
    <w:tblPr>
      <w:tblStyleRowBandSize w:val="1"/>
      <w:tblStyleColBandSize w:val="1"/>
      <w:tblBorders>
        <w:top w:val="single" w:sz="8" w:space="0" w:color="7F5034" w:themeColor="accent1"/>
        <w:left w:val="single" w:sz="8" w:space="0" w:color="7F5034" w:themeColor="accent1"/>
        <w:bottom w:val="single" w:sz="8" w:space="0" w:color="7F5034" w:themeColor="accent1"/>
        <w:right w:val="single" w:sz="8" w:space="0" w:color="7F5034" w:themeColor="accent1"/>
      </w:tblBorders>
    </w:tblPr>
    <w:tblStylePr w:type="firstRow">
      <w:pPr>
        <w:spacing w:before="0" w:after="0" w:line="240" w:lineRule="auto"/>
      </w:pPr>
      <w:rPr>
        <w:b/>
        <w:bCs/>
        <w:color w:val="FFFFFF" w:themeColor="background1"/>
      </w:rPr>
      <w:tblPr/>
      <w:tcPr>
        <w:shd w:val="clear" w:color="auto" w:fill="7F5034" w:themeFill="accent1"/>
      </w:tcPr>
    </w:tblStylePr>
    <w:tblStylePr w:type="lastRow">
      <w:pPr>
        <w:spacing w:before="0" w:after="0" w:line="240" w:lineRule="auto"/>
      </w:pPr>
      <w:rPr>
        <w:b/>
        <w:bCs/>
      </w:rPr>
      <w:tblPr/>
      <w:tcPr>
        <w:tcBorders>
          <w:top w:val="double" w:sz="6" w:space="0" w:color="7F5034" w:themeColor="accent1"/>
          <w:left w:val="single" w:sz="8" w:space="0" w:color="7F5034" w:themeColor="accent1"/>
          <w:bottom w:val="single" w:sz="8" w:space="0" w:color="7F5034" w:themeColor="accent1"/>
          <w:right w:val="single" w:sz="8" w:space="0" w:color="7F5034" w:themeColor="accent1"/>
        </w:tcBorders>
      </w:tcPr>
    </w:tblStylePr>
    <w:tblStylePr w:type="firstCol">
      <w:rPr>
        <w:b/>
        <w:bCs/>
      </w:rPr>
    </w:tblStylePr>
    <w:tblStylePr w:type="lastCol">
      <w:rPr>
        <w:b/>
        <w:bCs/>
      </w:rPr>
    </w:tblStylePr>
    <w:tblStylePr w:type="band1Vert">
      <w:tblPr/>
      <w:tcPr>
        <w:tcBorders>
          <w:top w:val="single" w:sz="8" w:space="0" w:color="7F5034" w:themeColor="accent1"/>
          <w:left w:val="single" w:sz="8" w:space="0" w:color="7F5034" w:themeColor="accent1"/>
          <w:bottom w:val="single" w:sz="8" w:space="0" w:color="7F5034" w:themeColor="accent1"/>
          <w:right w:val="single" w:sz="8" w:space="0" w:color="7F5034" w:themeColor="accent1"/>
        </w:tcBorders>
      </w:tcPr>
    </w:tblStylePr>
    <w:tblStylePr w:type="band1Horz">
      <w:tblPr/>
      <w:tcPr>
        <w:tcBorders>
          <w:top w:val="single" w:sz="8" w:space="0" w:color="7F5034" w:themeColor="accent1"/>
          <w:left w:val="single" w:sz="8" w:space="0" w:color="7F5034" w:themeColor="accent1"/>
          <w:bottom w:val="single" w:sz="8" w:space="0" w:color="7F5034" w:themeColor="accent1"/>
          <w:right w:val="single" w:sz="8" w:space="0" w:color="7F5034"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7F5034" w:themeColor="accent1"/>
        <w:left w:val="single" w:sz="8" w:space="0" w:color="7F5034" w:themeColor="accent1"/>
        <w:bottom w:val="single" w:sz="8" w:space="0" w:color="7F5034" w:themeColor="accent1"/>
        <w:right w:val="single" w:sz="8" w:space="0" w:color="7F5034" w:themeColor="accent1"/>
      </w:tblBorders>
    </w:tblPr>
    <w:tblStylePr w:type="firstRow">
      <w:rPr>
        <w:sz w:val="24"/>
        <w:szCs w:val="24"/>
      </w:rPr>
      <w:tblPr/>
      <w:tcPr>
        <w:tcBorders>
          <w:top w:val="nil"/>
          <w:left w:val="nil"/>
          <w:bottom w:val="single" w:sz="24" w:space="0" w:color="7F5034" w:themeColor="accent1"/>
          <w:right w:val="nil"/>
          <w:insideH w:val="nil"/>
          <w:insideV w:val="nil"/>
        </w:tcBorders>
        <w:shd w:val="clear" w:color="auto" w:fill="FFFFFF" w:themeFill="background1"/>
      </w:tcPr>
    </w:tblStylePr>
    <w:tblStylePr w:type="lastRow">
      <w:tblPr/>
      <w:tcPr>
        <w:tcBorders>
          <w:top w:val="single" w:sz="8" w:space="0" w:color="7F503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5034" w:themeColor="accent1"/>
          <w:insideH w:val="nil"/>
          <w:insideV w:val="nil"/>
        </w:tcBorders>
        <w:shd w:val="clear" w:color="auto" w:fill="FFFFFF" w:themeFill="background1"/>
      </w:tcPr>
    </w:tblStylePr>
    <w:tblStylePr w:type="lastCol">
      <w:tblPr/>
      <w:tcPr>
        <w:tcBorders>
          <w:top w:val="nil"/>
          <w:left w:val="single" w:sz="8" w:space="0" w:color="7F503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D1C4" w:themeFill="accent1" w:themeFillTint="3F"/>
      </w:tcPr>
    </w:tblStylePr>
    <w:tblStylePr w:type="band1Horz">
      <w:tblPr/>
      <w:tcPr>
        <w:tcBorders>
          <w:top w:val="nil"/>
          <w:bottom w:val="nil"/>
          <w:insideH w:val="nil"/>
          <w:insideV w:val="nil"/>
        </w:tcBorders>
        <w:shd w:val="clear" w:color="auto" w:fill="E7D1C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7F5034" w:themeColor="accent1"/>
        <w:left w:val="single" w:sz="8" w:space="0" w:color="7F5034" w:themeColor="accent1"/>
        <w:bottom w:val="single" w:sz="8" w:space="0" w:color="7F5034" w:themeColor="accent1"/>
        <w:right w:val="single" w:sz="8" w:space="0" w:color="7F5034" w:themeColor="accent1"/>
        <w:insideH w:val="single" w:sz="8" w:space="0" w:color="7F5034" w:themeColor="accent1"/>
        <w:insideV w:val="single" w:sz="8" w:space="0" w:color="7F5034" w:themeColor="accent1"/>
      </w:tblBorders>
    </w:tblPr>
    <w:tcPr>
      <w:shd w:val="clear" w:color="auto" w:fill="E7D1C4" w:themeFill="accent1" w:themeFillTint="3F"/>
    </w:tcPr>
    <w:tblStylePr w:type="firstRow">
      <w:rPr>
        <w:b/>
        <w:bCs/>
        <w:color w:val="000000" w:themeColor="text1"/>
      </w:rPr>
      <w:tblPr/>
      <w:tcPr>
        <w:shd w:val="clear" w:color="auto" w:fill="F5EC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ACF" w:themeFill="accent1" w:themeFillTint="33"/>
      </w:tcPr>
    </w:tblStylePr>
    <w:tblStylePr w:type="band1Vert">
      <w:tblPr/>
      <w:tcPr>
        <w:shd w:val="clear" w:color="auto" w:fill="CFA389" w:themeFill="accent1" w:themeFillTint="7F"/>
      </w:tcPr>
    </w:tblStylePr>
    <w:tblStylePr w:type="band1Horz">
      <w:tblPr/>
      <w:tcPr>
        <w:tcBorders>
          <w:insideH w:val="single" w:sz="6" w:space="0" w:color="7F5034" w:themeColor="accent1"/>
          <w:insideV w:val="single" w:sz="6" w:space="0" w:color="7F5034" w:themeColor="accent1"/>
        </w:tcBorders>
        <w:shd w:val="clear" w:color="auto" w:fill="CFA389" w:themeFill="accent1"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DD04C0"/>
    <w:tblPr>
      <w:tblStyleRowBandSize w:val="1"/>
      <w:tblStyleColBandSize w:val="1"/>
      <w:tblBorders>
        <w:top w:val="single" w:sz="8" w:space="0" w:color="7F5034" w:themeColor="accent1"/>
        <w:left w:val="single" w:sz="8" w:space="0" w:color="7F5034" w:themeColor="accent1"/>
        <w:bottom w:val="single" w:sz="8" w:space="0" w:color="7F5034" w:themeColor="accent1"/>
        <w:right w:val="single" w:sz="8" w:space="0" w:color="7F5034" w:themeColor="accent1"/>
        <w:insideH w:val="single" w:sz="8" w:space="0" w:color="7F5034" w:themeColor="accent1"/>
        <w:insideV w:val="single" w:sz="8" w:space="0" w:color="7F503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5034" w:themeColor="accent1"/>
          <w:left w:val="single" w:sz="8" w:space="0" w:color="7F5034" w:themeColor="accent1"/>
          <w:bottom w:val="single" w:sz="18" w:space="0" w:color="7F5034" w:themeColor="accent1"/>
          <w:right w:val="single" w:sz="8" w:space="0" w:color="7F5034" w:themeColor="accent1"/>
          <w:insideH w:val="nil"/>
          <w:insideV w:val="single" w:sz="8" w:space="0" w:color="7F503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5034" w:themeColor="accent1"/>
          <w:left w:val="single" w:sz="8" w:space="0" w:color="7F5034" w:themeColor="accent1"/>
          <w:bottom w:val="single" w:sz="8" w:space="0" w:color="7F5034" w:themeColor="accent1"/>
          <w:right w:val="single" w:sz="8" w:space="0" w:color="7F5034" w:themeColor="accent1"/>
          <w:insideH w:val="nil"/>
          <w:insideV w:val="single" w:sz="8" w:space="0" w:color="7F503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5034" w:themeColor="accent1"/>
          <w:left w:val="single" w:sz="8" w:space="0" w:color="7F5034" w:themeColor="accent1"/>
          <w:bottom w:val="single" w:sz="8" w:space="0" w:color="7F5034" w:themeColor="accent1"/>
          <w:right w:val="single" w:sz="8" w:space="0" w:color="7F5034" w:themeColor="accent1"/>
        </w:tcBorders>
      </w:tcPr>
    </w:tblStylePr>
    <w:tblStylePr w:type="band1Vert">
      <w:tblPr/>
      <w:tcPr>
        <w:tcBorders>
          <w:top w:val="single" w:sz="8" w:space="0" w:color="7F5034" w:themeColor="accent1"/>
          <w:left w:val="single" w:sz="8" w:space="0" w:color="7F5034" w:themeColor="accent1"/>
          <w:bottom w:val="single" w:sz="8" w:space="0" w:color="7F5034" w:themeColor="accent1"/>
          <w:right w:val="single" w:sz="8" w:space="0" w:color="7F5034" w:themeColor="accent1"/>
        </w:tcBorders>
        <w:shd w:val="clear" w:color="auto" w:fill="E7D1C4" w:themeFill="accent1" w:themeFillTint="3F"/>
      </w:tcPr>
    </w:tblStylePr>
    <w:tblStylePr w:type="band1Horz">
      <w:tblPr/>
      <w:tcPr>
        <w:tcBorders>
          <w:top w:val="single" w:sz="8" w:space="0" w:color="7F5034" w:themeColor="accent1"/>
          <w:left w:val="single" w:sz="8" w:space="0" w:color="7F5034" w:themeColor="accent1"/>
          <w:bottom w:val="single" w:sz="8" w:space="0" w:color="7F5034" w:themeColor="accent1"/>
          <w:right w:val="single" w:sz="8" w:space="0" w:color="7F5034" w:themeColor="accent1"/>
          <w:insideV w:val="single" w:sz="8" w:space="0" w:color="7F5034" w:themeColor="accent1"/>
        </w:tcBorders>
        <w:shd w:val="clear" w:color="auto" w:fill="E7D1C4" w:themeFill="accent1" w:themeFillTint="3F"/>
      </w:tcPr>
    </w:tblStylePr>
    <w:tblStylePr w:type="band2Horz">
      <w:tblPr/>
      <w:tcPr>
        <w:tcBorders>
          <w:top w:val="single" w:sz="8" w:space="0" w:color="7F5034" w:themeColor="accent1"/>
          <w:left w:val="single" w:sz="8" w:space="0" w:color="7F5034" w:themeColor="accent1"/>
          <w:bottom w:val="single" w:sz="8" w:space="0" w:color="7F5034" w:themeColor="accent1"/>
          <w:right w:val="single" w:sz="8" w:space="0" w:color="7F5034" w:themeColor="accent1"/>
          <w:insideV w:val="single" w:sz="8" w:space="0" w:color="7F5034" w:themeColor="accent1"/>
        </w:tcBorders>
      </w:tcPr>
    </w:tblStylePr>
  </w:style>
  <w:style w:type="paragraph" w:styleId="BodyText2">
    <w:name w:val="Body Text 2"/>
    <w:basedOn w:val="Normal"/>
    <w:link w:val="BodyText2Char"/>
    <w:unhideWhenUsed/>
    <w:rsid w:val="00FF271F"/>
    <w:pPr>
      <w:spacing w:after="120" w:line="480" w:lineRule="auto"/>
    </w:pPr>
    <w:rPr>
      <w:rFonts w:ascii="Calibri" w:eastAsia="Calibri" w:hAnsi="Calibri"/>
      <w:kern w:val="24"/>
      <w:sz w:val="23"/>
      <w:szCs w:val="23"/>
      <w:lang w:val="sq-AL" w:eastAsia="en-US"/>
    </w:rPr>
  </w:style>
  <w:style w:type="character" w:customStyle="1" w:styleId="BodyText2Char">
    <w:name w:val="Body Text 2 Char"/>
    <w:basedOn w:val="DefaultParagraphFont"/>
    <w:link w:val="BodyText2"/>
    <w:rsid w:val="00FF271F"/>
    <w:rPr>
      <w:rFonts w:ascii="Calibri" w:eastAsia="Calibri" w:hAnsi="Calibri"/>
      <w:kern w:val="24"/>
      <w:sz w:val="23"/>
      <w:szCs w:val="23"/>
      <w:lang w:val="sq-AL"/>
    </w:rPr>
  </w:style>
  <w:style w:type="character" w:styleId="FootnoteReference">
    <w:name w:val="footnote reference"/>
    <w:uiPriority w:val="99"/>
    <w:unhideWhenUsed/>
    <w:rsid w:val="00B02831"/>
    <w:rPr>
      <w:vertAlign w:val="superscript"/>
    </w:rPr>
  </w:style>
  <w:style w:type="paragraph" w:styleId="FootnoteText">
    <w:name w:val="footnote text"/>
    <w:basedOn w:val="Normal"/>
    <w:link w:val="FootnoteTextChar"/>
    <w:uiPriority w:val="99"/>
    <w:unhideWhenUsed/>
    <w:rsid w:val="00B02831"/>
    <w:rPr>
      <w:rFonts w:ascii="Calibri" w:eastAsia="Calibri" w:hAnsi="Calibri"/>
      <w:kern w:val="24"/>
      <w:sz w:val="22"/>
      <w:szCs w:val="20"/>
      <w:lang w:val="sq-AL" w:eastAsia="en-US"/>
    </w:rPr>
  </w:style>
  <w:style w:type="character" w:customStyle="1" w:styleId="FootnoteTextChar">
    <w:name w:val="Footnote Text Char"/>
    <w:basedOn w:val="DefaultParagraphFont"/>
    <w:link w:val="FootnoteText"/>
    <w:uiPriority w:val="99"/>
    <w:rsid w:val="00B02831"/>
    <w:rPr>
      <w:rFonts w:ascii="Calibri" w:eastAsia="Calibri" w:hAnsi="Calibri"/>
      <w:kern w:val="24"/>
      <w:sz w:val="22"/>
      <w:lang w:val="sq-AL"/>
    </w:rPr>
  </w:style>
  <w:style w:type="table" w:customStyle="1" w:styleId="TableGrid2">
    <w:name w:val="Table Grid2"/>
    <w:basedOn w:val="TableNormal"/>
    <w:next w:val="TableGrid"/>
    <w:uiPriority w:val="59"/>
    <w:rsid w:val="00B348F7"/>
    <w:rPr>
      <w:rFonts w:asciiTheme="minorHAnsi" w:eastAsiaTheme="minorHAnsi" w:hAnsiTheme="minorHAnsi" w:cs="Calibri"/>
      <w:kern w:val="24"/>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B348F7"/>
    <w:rPr>
      <w:color w:val="AB7239" w:themeColor="accent2" w:themeShade="BF"/>
    </w:rPr>
    <w:tblPr>
      <w:tblStyleRowBandSize w:val="1"/>
      <w:tblStyleColBandSize w:val="1"/>
      <w:tblBorders>
        <w:top w:val="single" w:sz="8" w:space="0" w:color="CC9966" w:themeColor="accent2"/>
        <w:bottom w:val="single" w:sz="8" w:space="0" w:color="CC9966" w:themeColor="accent2"/>
      </w:tblBorders>
    </w:tblPr>
    <w:tblStylePr w:type="firstRow">
      <w:pPr>
        <w:spacing w:before="0" w:after="0" w:line="240" w:lineRule="auto"/>
      </w:pPr>
      <w:rPr>
        <w:b/>
        <w:bCs/>
      </w:rPr>
      <w:tblPr/>
      <w:tcPr>
        <w:tcBorders>
          <w:top w:val="single" w:sz="8" w:space="0" w:color="CC9966" w:themeColor="accent2"/>
          <w:left w:val="nil"/>
          <w:bottom w:val="single" w:sz="8" w:space="0" w:color="CC9966" w:themeColor="accent2"/>
          <w:right w:val="nil"/>
          <w:insideH w:val="nil"/>
          <w:insideV w:val="nil"/>
        </w:tcBorders>
      </w:tcPr>
    </w:tblStylePr>
    <w:tblStylePr w:type="lastRow">
      <w:pPr>
        <w:spacing w:before="0" w:after="0" w:line="240" w:lineRule="auto"/>
      </w:pPr>
      <w:rPr>
        <w:b/>
        <w:bCs/>
      </w:rPr>
      <w:tblPr/>
      <w:tcPr>
        <w:tcBorders>
          <w:top w:val="single" w:sz="8" w:space="0" w:color="CC9966" w:themeColor="accent2"/>
          <w:left w:val="nil"/>
          <w:bottom w:val="single" w:sz="8" w:space="0" w:color="CC996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5D9" w:themeFill="accent2" w:themeFillTint="3F"/>
      </w:tcPr>
    </w:tblStylePr>
    <w:tblStylePr w:type="band1Horz">
      <w:tblPr/>
      <w:tcPr>
        <w:tcBorders>
          <w:left w:val="nil"/>
          <w:right w:val="nil"/>
          <w:insideH w:val="nil"/>
          <w:insideV w:val="nil"/>
        </w:tcBorders>
        <w:shd w:val="clear" w:color="auto" w:fill="F2E5D9" w:themeFill="accent2" w:themeFillTint="3F"/>
      </w:tcPr>
    </w:tblStylePr>
  </w:style>
  <w:style w:type="table" w:styleId="LightGrid-Accent2">
    <w:name w:val="Light Grid Accent 2"/>
    <w:basedOn w:val="TableNormal"/>
    <w:uiPriority w:val="62"/>
    <w:rsid w:val="00B348F7"/>
    <w:tblPr>
      <w:tblStyleRowBandSize w:val="1"/>
      <w:tblStyleColBandSize w:val="1"/>
      <w:tblBorders>
        <w:top w:val="single" w:sz="8" w:space="0" w:color="CC9966" w:themeColor="accent2"/>
        <w:left w:val="single" w:sz="8" w:space="0" w:color="CC9966" w:themeColor="accent2"/>
        <w:bottom w:val="single" w:sz="8" w:space="0" w:color="CC9966" w:themeColor="accent2"/>
        <w:right w:val="single" w:sz="8" w:space="0" w:color="CC9966" w:themeColor="accent2"/>
        <w:insideH w:val="single" w:sz="8" w:space="0" w:color="CC9966" w:themeColor="accent2"/>
        <w:insideV w:val="single" w:sz="8" w:space="0" w:color="CC996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9966" w:themeColor="accent2"/>
          <w:left w:val="single" w:sz="8" w:space="0" w:color="CC9966" w:themeColor="accent2"/>
          <w:bottom w:val="single" w:sz="18" w:space="0" w:color="CC9966" w:themeColor="accent2"/>
          <w:right w:val="single" w:sz="8" w:space="0" w:color="CC9966" w:themeColor="accent2"/>
          <w:insideH w:val="nil"/>
          <w:insideV w:val="single" w:sz="8" w:space="0" w:color="CC996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9966" w:themeColor="accent2"/>
          <w:left w:val="single" w:sz="8" w:space="0" w:color="CC9966" w:themeColor="accent2"/>
          <w:bottom w:val="single" w:sz="8" w:space="0" w:color="CC9966" w:themeColor="accent2"/>
          <w:right w:val="single" w:sz="8" w:space="0" w:color="CC9966" w:themeColor="accent2"/>
          <w:insideH w:val="nil"/>
          <w:insideV w:val="single" w:sz="8" w:space="0" w:color="CC996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9966" w:themeColor="accent2"/>
          <w:left w:val="single" w:sz="8" w:space="0" w:color="CC9966" w:themeColor="accent2"/>
          <w:bottom w:val="single" w:sz="8" w:space="0" w:color="CC9966" w:themeColor="accent2"/>
          <w:right w:val="single" w:sz="8" w:space="0" w:color="CC9966" w:themeColor="accent2"/>
        </w:tcBorders>
      </w:tcPr>
    </w:tblStylePr>
    <w:tblStylePr w:type="band1Vert">
      <w:tblPr/>
      <w:tcPr>
        <w:tcBorders>
          <w:top w:val="single" w:sz="8" w:space="0" w:color="CC9966" w:themeColor="accent2"/>
          <w:left w:val="single" w:sz="8" w:space="0" w:color="CC9966" w:themeColor="accent2"/>
          <w:bottom w:val="single" w:sz="8" w:space="0" w:color="CC9966" w:themeColor="accent2"/>
          <w:right w:val="single" w:sz="8" w:space="0" w:color="CC9966" w:themeColor="accent2"/>
        </w:tcBorders>
        <w:shd w:val="clear" w:color="auto" w:fill="F2E5D9" w:themeFill="accent2" w:themeFillTint="3F"/>
      </w:tcPr>
    </w:tblStylePr>
    <w:tblStylePr w:type="band1Horz">
      <w:tblPr/>
      <w:tcPr>
        <w:tcBorders>
          <w:top w:val="single" w:sz="8" w:space="0" w:color="CC9966" w:themeColor="accent2"/>
          <w:left w:val="single" w:sz="8" w:space="0" w:color="CC9966" w:themeColor="accent2"/>
          <w:bottom w:val="single" w:sz="8" w:space="0" w:color="CC9966" w:themeColor="accent2"/>
          <w:right w:val="single" w:sz="8" w:space="0" w:color="CC9966" w:themeColor="accent2"/>
          <w:insideV w:val="single" w:sz="8" w:space="0" w:color="CC9966" w:themeColor="accent2"/>
        </w:tcBorders>
        <w:shd w:val="clear" w:color="auto" w:fill="F2E5D9" w:themeFill="accent2" w:themeFillTint="3F"/>
      </w:tcPr>
    </w:tblStylePr>
    <w:tblStylePr w:type="band2Horz">
      <w:tblPr/>
      <w:tcPr>
        <w:tcBorders>
          <w:top w:val="single" w:sz="8" w:space="0" w:color="CC9966" w:themeColor="accent2"/>
          <w:left w:val="single" w:sz="8" w:space="0" w:color="CC9966" w:themeColor="accent2"/>
          <w:bottom w:val="single" w:sz="8" w:space="0" w:color="CC9966" w:themeColor="accent2"/>
          <w:right w:val="single" w:sz="8" w:space="0" w:color="CC9966" w:themeColor="accent2"/>
          <w:insideV w:val="single" w:sz="8" w:space="0" w:color="CC9966" w:themeColor="accent2"/>
        </w:tcBorders>
      </w:tcPr>
    </w:tblStylePr>
  </w:style>
  <w:style w:type="table" w:styleId="MediumList2-Accent2">
    <w:name w:val="Medium List 2 Accent 2"/>
    <w:basedOn w:val="TableNormal"/>
    <w:uiPriority w:val="66"/>
    <w:rsid w:val="003E7455"/>
    <w:rPr>
      <w:rFonts w:asciiTheme="majorHAnsi" w:eastAsiaTheme="majorEastAsia" w:hAnsiTheme="majorHAnsi" w:cstheme="majorBidi"/>
      <w:color w:val="000000" w:themeColor="text1"/>
    </w:rPr>
    <w:tblPr>
      <w:tblStyleRowBandSize w:val="1"/>
      <w:tblStyleColBandSize w:val="1"/>
      <w:tblBorders>
        <w:top w:val="single" w:sz="8" w:space="0" w:color="CC9966" w:themeColor="accent2"/>
        <w:left w:val="single" w:sz="8" w:space="0" w:color="CC9966" w:themeColor="accent2"/>
        <w:bottom w:val="single" w:sz="8" w:space="0" w:color="CC9966" w:themeColor="accent2"/>
        <w:right w:val="single" w:sz="8" w:space="0" w:color="CC9966" w:themeColor="accent2"/>
      </w:tblBorders>
    </w:tblPr>
    <w:tblStylePr w:type="firstRow">
      <w:rPr>
        <w:sz w:val="24"/>
        <w:szCs w:val="24"/>
      </w:rPr>
      <w:tblPr/>
      <w:tcPr>
        <w:tcBorders>
          <w:top w:val="nil"/>
          <w:left w:val="nil"/>
          <w:bottom w:val="single" w:sz="24" w:space="0" w:color="CC9966" w:themeColor="accent2"/>
          <w:right w:val="nil"/>
          <w:insideH w:val="nil"/>
          <w:insideV w:val="nil"/>
        </w:tcBorders>
        <w:shd w:val="clear" w:color="auto" w:fill="FFFFFF" w:themeFill="background1"/>
      </w:tcPr>
    </w:tblStylePr>
    <w:tblStylePr w:type="lastRow">
      <w:tblPr/>
      <w:tcPr>
        <w:tcBorders>
          <w:top w:val="single" w:sz="8" w:space="0" w:color="CC996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9966" w:themeColor="accent2"/>
          <w:insideH w:val="nil"/>
          <w:insideV w:val="nil"/>
        </w:tcBorders>
        <w:shd w:val="clear" w:color="auto" w:fill="FFFFFF" w:themeFill="background1"/>
      </w:tcPr>
    </w:tblStylePr>
    <w:tblStylePr w:type="lastCol">
      <w:tblPr/>
      <w:tcPr>
        <w:tcBorders>
          <w:top w:val="nil"/>
          <w:left w:val="single" w:sz="8" w:space="0" w:color="CC996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5D9" w:themeFill="accent2" w:themeFillTint="3F"/>
      </w:tcPr>
    </w:tblStylePr>
    <w:tblStylePr w:type="band1Horz">
      <w:tblPr/>
      <w:tcPr>
        <w:tcBorders>
          <w:top w:val="nil"/>
          <w:bottom w:val="nil"/>
          <w:insideH w:val="nil"/>
          <w:insideV w:val="nil"/>
        </w:tcBorders>
        <w:shd w:val="clear" w:color="auto" w:fill="F2E5D9"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Spacing">
    <w:name w:val="No Spacing"/>
    <w:link w:val="NoSpacingChar"/>
    <w:uiPriority w:val="1"/>
    <w:unhideWhenUsed/>
    <w:qFormat/>
    <w:rsid w:val="00D77236"/>
    <w:rPr>
      <w:rFonts w:ascii="Calibri" w:eastAsia="Calibri" w:hAnsi="Calibri"/>
      <w:kern w:val="24"/>
      <w:sz w:val="23"/>
      <w:szCs w:val="23"/>
    </w:rPr>
  </w:style>
  <w:style w:type="character" w:customStyle="1" w:styleId="NoSpacingChar">
    <w:name w:val="No Spacing Char"/>
    <w:link w:val="NoSpacing"/>
    <w:uiPriority w:val="1"/>
    <w:locked/>
    <w:rsid w:val="00D77236"/>
    <w:rPr>
      <w:rFonts w:ascii="Calibri" w:eastAsia="Calibri" w:hAnsi="Calibri"/>
      <w:kern w:val="24"/>
      <w:sz w:val="23"/>
      <w:szCs w:val="23"/>
    </w:rPr>
  </w:style>
  <w:style w:type="character" w:customStyle="1" w:styleId="textexposedshow">
    <w:name w:val="text_exposed_show"/>
    <w:basedOn w:val="DefaultParagraphFont"/>
    <w:rsid w:val="00B3782C"/>
  </w:style>
  <w:style w:type="table" w:customStyle="1" w:styleId="TableGrid3">
    <w:name w:val="Table Grid3"/>
    <w:basedOn w:val="TableNormal"/>
    <w:next w:val="TableGrid"/>
    <w:uiPriority w:val="59"/>
    <w:rsid w:val="000B2E51"/>
    <w:rPr>
      <w:rFonts w:asciiTheme="minorHAnsi" w:eastAsiaTheme="minorHAnsi" w:hAnsiTheme="minorHAnsi" w:cs="Tw Cen MT"/>
      <w:kern w:val="24"/>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2">
    <w:name w:val="Medium Grid 2 Accent 2"/>
    <w:basedOn w:val="TableNormal"/>
    <w:uiPriority w:val="68"/>
    <w:rsid w:val="000B2E51"/>
    <w:rPr>
      <w:rFonts w:asciiTheme="majorHAnsi" w:eastAsiaTheme="majorEastAsia" w:hAnsiTheme="majorHAnsi" w:cstheme="majorBidi"/>
      <w:color w:val="000000" w:themeColor="text1"/>
    </w:rPr>
    <w:tblPr>
      <w:tblStyleRowBandSize w:val="1"/>
      <w:tblStyleColBandSize w:val="1"/>
      <w:tblBorders>
        <w:top w:val="single" w:sz="8" w:space="0" w:color="CC9966" w:themeColor="accent2"/>
        <w:left w:val="single" w:sz="8" w:space="0" w:color="CC9966" w:themeColor="accent2"/>
        <w:bottom w:val="single" w:sz="8" w:space="0" w:color="CC9966" w:themeColor="accent2"/>
        <w:right w:val="single" w:sz="8" w:space="0" w:color="CC9966" w:themeColor="accent2"/>
        <w:insideH w:val="single" w:sz="8" w:space="0" w:color="CC9966" w:themeColor="accent2"/>
        <w:insideV w:val="single" w:sz="8" w:space="0" w:color="CC9966" w:themeColor="accent2"/>
      </w:tblBorders>
    </w:tblPr>
    <w:tcPr>
      <w:shd w:val="clear" w:color="auto" w:fill="F2E5D9" w:themeFill="accent2" w:themeFillTint="3F"/>
    </w:tcPr>
    <w:tblStylePr w:type="firstRow">
      <w:rPr>
        <w:b/>
        <w:bCs/>
        <w:color w:val="000000" w:themeColor="text1"/>
      </w:rPr>
      <w:tblPr/>
      <w:tcPr>
        <w:shd w:val="clear" w:color="auto" w:fill="FAF4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AE0" w:themeFill="accent2" w:themeFillTint="33"/>
      </w:tcPr>
    </w:tblStylePr>
    <w:tblStylePr w:type="band1Vert">
      <w:tblPr/>
      <w:tcPr>
        <w:shd w:val="clear" w:color="auto" w:fill="E5CCB2" w:themeFill="accent2" w:themeFillTint="7F"/>
      </w:tcPr>
    </w:tblStylePr>
    <w:tblStylePr w:type="band1Horz">
      <w:tblPr/>
      <w:tcPr>
        <w:tcBorders>
          <w:insideH w:val="single" w:sz="6" w:space="0" w:color="CC9966" w:themeColor="accent2"/>
          <w:insideV w:val="single" w:sz="6" w:space="0" w:color="CC9966" w:themeColor="accent2"/>
        </w:tcBorders>
        <w:shd w:val="clear" w:color="auto" w:fill="E5CCB2" w:themeFill="accent2"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magjistratura.edu.al" TargetMode="External"/><Relationship Id="rId26" Type="http://schemas.openxmlformats.org/officeDocument/2006/relationships/chart" Target="charts/chart8.xml"/><Relationship Id="rId39" Type="http://schemas.openxmlformats.org/officeDocument/2006/relationships/image" Target="media/image20.jpeg"/><Relationship Id="rId21" Type="http://schemas.openxmlformats.org/officeDocument/2006/relationships/chart" Target="charts/chart3.xml"/><Relationship Id="rId34" Type="http://schemas.openxmlformats.org/officeDocument/2006/relationships/image" Target="media/image15.jpeg"/><Relationship Id="rId42" Type="http://schemas.openxmlformats.org/officeDocument/2006/relationships/image" Target="media/image23.emf"/><Relationship Id="rId47" Type="http://schemas.openxmlformats.org/officeDocument/2006/relationships/image" Target="media/image25.jpeg"/><Relationship Id="rId50"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chart" Target="charts/chart6.xm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emf"/><Relationship Id="rId45" Type="http://schemas.openxmlformats.org/officeDocument/2006/relationships/hyperlink" Target="https://webmail.magjistratura.edu.al"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2.jpeg"/><Relationship Id="rId44" Type="http://schemas.openxmlformats.org/officeDocument/2006/relationships/hyperlink" Target="http://www.magjistratura.edu.a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emf"/><Relationship Id="rId48" Type="http://schemas.openxmlformats.org/officeDocument/2006/relationships/image" Target="media/image26.jpeg"/><Relationship Id="rId8" Type="http://schemas.openxmlformats.org/officeDocument/2006/relationships/image" Target="media/image1.jpeg"/><Relationship Id="rId51" Type="http://schemas.openxmlformats.org/officeDocument/2006/relationships/image" Target="media/image29.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chart" Target="charts/chart7.xm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moodle.magjistratura.edu.al/course/view.php?id=2" TargetMode="External"/><Relationship Id="rId20" Type="http://schemas.openxmlformats.org/officeDocument/2006/relationships/chart" Target="charts/chart2.xml"/><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7.jpeg"/><Relationship Id="rId49"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solidFill>
                  <a:schemeClr val="tx2">
                    <a:lumMod val="75000"/>
                  </a:schemeClr>
                </a:solidFill>
              </a:rPr>
              <a:t>Financimi i aktiviteteve trajnuese për vitin akademik 2017-2018</a:t>
            </a:r>
          </a:p>
        </c:rich>
      </c:tx>
      <c:overlay val="0"/>
    </c:title>
    <c:autoTitleDeleted val="0"/>
    <c:plotArea>
      <c:layout/>
      <c:pieChart>
        <c:varyColors val="1"/>
        <c:ser>
          <c:idx val="0"/>
          <c:order val="0"/>
          <c:tx>
            <c:strRef>
              <c:f>Sheet1!$B$1</c:f>
              <c:strCache>
                <c:ptCount val="1"/>
                <c:pt idx="0">
                  <c:v>Financimi i aktiviteve trajnuese për vitin akademik 2016-2017</c:v>
                </c:pt>
              </c:strCache>
            </c:strRef>
          </c:tx>
          <c:dLbls>
            <c:dLbl>
              <c:idx val="2"/>
              <c:delete val="1"/>
              <c:extLst>
                <c:ext xmlns:c15="http://schemas.microsoft.com/office/drawing/2012/chart" uri="{CE6537A1-D6FC-4f65-9D91-7224C49458BB}"/>
                <c:ext xmlns:c16="http://schemas.microsoft.com/office/drawing/2014/chart" uri="{C3380CC4-5D6E-409C-BE32-E72D297353CC}">
                  <c16:uniqueId val="{00000000-FBE4-4BF0-9252-CC530AD00F55}"/>
                </c:ext>
              </c:extLst>
            </c:dLbl>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Sheet1!$A$2:$A$4</c:f>
              <c:strCache>
                <c:ptCount val="2"/>
                <c:pt idx="0">
                  <c:v>Trajnime nga donatorë</c:v>
                </c:pt>
                <c:pt idx="1">
                  <c:v>Trajnime nga SHM</c:v>
                </c:pt>
              </c:strCache>
            </c:strRef>
          </c:cat>
          <c:val>
            <c:numRef>
              <c:f>Sheet1!$B$2:$B$4</c:f>
              <c:numCache>
                <c:formatCode>General</c:formatCode>
                <c:ptCount val="3"/>
                <c:pt idx="0">
                  <c:v>90</c:v>
                </c:pt>
                <c:pt idx="1">
                  <c:v>123</c:v>
                </c:pt>
              </c:numCache>
            </c:numRef>
          </c:val>
          <c:extLst>
            <c:ext xmlns:c16="http://schemas.microsoft.com/office/drawing/2014/chart" uri="{C3380CC4-5D6E-409C-BE32-E72D297353CC}">
              <c16:uniqueId val="{00000001-FBE4-4BF0-9252-CC530AD00F55}"/>
            </c:ext>
          </c:extLst>
        </c:ser>
        <c:dLbls>
          <c:showLegendKey val="0"/>
          <c:showVal val="0"/>
          <c:showCatName val="1"/>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400">
                <a:solidFill>
                  <a:schemeClr val="tx2">
                    <a:lumMod val="60000"/>
                    <a:lumOff val="40000"/>
                  </a:schemeClr>
                </a:solidFill>
              </a:rPr>
              <a:t>Ditët e trajnimit për çdo gjyqtar për vitin akademik 2017-2018</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Ditët e trajnimit për çdo gjyqtarë pë vitin akademik 2016-2017</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A412-4D6C-AED1-04E6D5349D4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A412-4D6C-AED1-04E6D5349D4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A412-4D6C-AED1-04E6D5349D4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A412-4D6C-AED1-04E6D5349D4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extLst>
              <c:ext xmlns:c16="http://schemas.microsoft.com/office/drawing/2014/chart" uri="{C3380CC4-5D6E-409C-BE32-E72D297353CC}">
                <c16:uniqueId val="{00000009-A412-4D6C-AED1-04E6D5349D4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extLst>
              <c:ext xmlns:c16="http://schemas.microsoft.com/office/drawing/2014/chart" uri="{C3380CC4-5D6E-409C-BE32-E72D297353CC}">
                <c16:uniqueId val="{0000000B-A412-4D6C-AED1-04E6D5349D4B}"/>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12-4D6C-AED1-04E6D5349D4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12-4D6C-AED1-04E6D5349D4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412-4D6C-AED1-04E6D5349D4B}"/>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12-4D6C-AED1-04E6D5349D4B}"/>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412-4D6C-AED1-04E6D5349D4B}"/>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Sheet1!$A$2:$A$8</c:f>
              <c:strCache>
                <c:ptCount val="7"/>
                <c:pt idx="0">
                  <c:v>0 dite</c:v>
                </c:pt>
                <c:pt idx="1">
                  <c:v>0-1 ditë</c:v>
                </c:pt>
                <c:pt idx="2">
                  <c:v>1-3 ditë</c:v>
                </c:pt>
                <c:pt idx="3">
                  <c:v>3-5 ditë</c:v>
                </c:pt>
                <c:pt idx="4">
                  <c:v>5-10 ditë</c:v>
                </c:pt>
                <c:pt idx="5">
                  <c:v>10-20 ditë</c:v>
                </c:pt>
                <c:pt idx="6">
                  <c:v>mbi 20 ditë</c:v>
                </c:pt>
              </c:strCache>
            </c:strRef>
          </c:cat>
          <c:val>
            <c:numRef>
              <c:f>Sheet1!$B$2:$B$8</c:f>
              <c:numCache>
                <c:formatCode>General</c:formatCode>
                <c:ptCount val="7"/>
                <c:pt idx="0">
                  <c:v>15</c:v>
                </c:pt>
                <c:pt idx="1">
                  <c:v>20</c:v>
                </c:pt>
                <c:pt idx="2">
                  <c:v>150</c:v>
                </c:pt>
                <c:pt idx="3">
                  <c:v>140</c:v>
                </c:pt>
                <c:pt idx="4">
                  <c:v>125</c:v>
                </c:pt>
                <c:pt idx="5">
                  <c:v>34</c:v>
                </c:pt>
                <c:pt idx="6">
                  <c:v>2</c:v>
                </c:pt>
              </c:numCache>
            </c:numRef>
          </c:val>
          <c:extLst>
            <c:ext xmlns:c16="http://schemas.microsoft.com/office/drawing/2014/chart" uri="{C3380CC4-5D6E-409C-BE32-E72D297353CC}">
              <c16:uniqueId val="{0000000C-A412-4D6C-AED1-04E6D5349D4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400">
                <a:solidFill>
                  <a:schemeClr val="tx2">
                    <a:lumMod val="60000"/>
                    <a:lumOff val="40000"/>
                  </a:schemeClr>
                </a:solidFill>
              </a:rPr>
              <a:t>Numri i trajnimeve sipas muajve për vitin akademik 2017-2018</a:t>
            </a:r>
          </a:p>
        </c:rich>
      </c:tx>
      <c:layout>
        <c:manualLayout>
          <c:xMode val="edge"/>
          <c:yMode val="edge"/>
          <c:x val="0.13612146307798481"/>
          <c:y val="2.0140986908358503E-2"/>
        </c:manualLayout>
      </c:layout>
      <c:overlay val="0"/>
    </c:title>
    <c:autoTitleDeleted val="0"/>
    <c:plotArea>
      <c:layout>
        <c:manualLayout>
          <c:layoutTarget val="inner"/>
          <c:xMode val="edge"/>
          <c:yMode val="edge"/>
          <c:x val="6.8283209390492858E-2"/>
          <c:y val="0.24024590676165491"/>
          <c:w val="0.90625382764654461"/>
          <c:h val="0.62734001999750222"/>
        </c:manualLayout>
      </c:layout>
      <c:barChart>
        <c:barDir val="col"/>
        <c:grouping val="clustered"/>
        <c:varyColors val="0"/>
        <c:ser>
          <c:idx val="0"/>
          <c:order val="0"/>
          <c:tx>
            <c:strRef>
              <c:f>Sheet1!$B$1</c:f>
              <c:strCache>
                <c:ptCount val="1"/>
                <c:pt idx="0">
                  <c:v>Nr i trajnimeve  213</c:v>
                </c:pt>
              </c:strCache>
            </c:strRef>
          </c:tx>
          <c:invertIfNegative val="0"/>
          <c:dLbls>
            <c:dLbl>
              <c:idx val="1"/>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84-4390-8332-DE0C1F9D85F6}"/>
                </c:ext>
              </c:extLst>
            </c:dLbl>
            <c:dLbl>
              <c:idx val="2"/>
              <c:tx>
                <c:rich>
                  <a:bodyPr/>
                  <a:lstStyle/>
                  <a:p>
                    <a:r>
                      <a:rPr lang="en-US"/>
                      <a:t>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84-4390-8332-DE0C1F9D85F6}"/>
                </c:ext>
              </c:extLst>
            </c:dLbl>
            <c:dLbl>
              <c:idx val="3"/>
              <c:tx>
                <c:rich>
                  <a:bodyPr/>
                  <a:lstStyle/>
                  <a:p>
                    <a:r>
                      <a:rPr lang="en-US"/>
                      <a:t>24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84-4390-8332-DE0C1F9D85F6}"/>
                </c:ext>
              </c:extLst>
            </c:dLbl>
            <c:dLbl>
              <c:idx val="8"/>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84-4390-8332-DE0C1F9D85F6}"/>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Sheet1!$A$2:$A$12</c:f>
              <c:strCache>
                <c:ptCount val="11"/>
                <c:pt idx="0">
                  <c:v>Shtator</c:v>
                </c:pt>
                <c:pt idx="1">
                  <c:v>Tetor</c:v>
                </c:pt>
                <c:pt idx="2">
                  <c:v>Nëntor</c:v>
                </c:pt>
                <c:pt idx="3">
                  <c:v>Dhjetor</c:v>
                </c:pt>
                <c:pt idx="4">
                  <c:v>Janar</c:v>
                </c:pt>
                <c:pt idx="5">
                  <c:v>Shkurt</c:v>
                </c:pt>
                <c:pt idx="6">
                  <c:v>Mars</c:v>
                </c:pt>
                <c:pt idx="7">
                  <c:v>Prill</c:v>
                </c:pt>
                <c:pt idx="8">
                  <c:v>Maj</c:v>
                </c:pt>
                <c:pt idx="9">
                  <c:v>Qershor</c:v>
                </c:pt>
                <c:pt idx="10">
                  <c:v>Korrik</c:v>
                </c:pt>
              </c:strCache>
            </c:strRef>
          </c:cat>
          <c:val>
            <c:numRef>
              <c:f>Sheet1!$B$2:$B$12</c:f>
              <c:numCache>
                <c:formatCode>General</c:formatCode>
                <c:ptCount val="11"/>
                <c:pt idx="0">
                  <c:v>3</c:v>
                </c:pt>
                <c:pt idx="1">
                  <c:v>10</c:v>
                </c:pt>
                <c:pt idx="2">
                  <c:v>15</c:v>
                </c:pt>
                <c:pt idx="3">
                  <c:v>24</c:v>
                </c:pt>
                <c:pt idx="4">
                  <c:v>25</c:v>
                </c:pt>
                <c:pt idx="5">
                  <c:v>27</c:v>
                </c:pt>
                <c:pt idx="6">
                  <c:v>28</c:v>
                </c:pt>
                <c:pt idx="7">
                  <c:v>17</c:v>
                </c:pt>
                <c:pt idx="8">
                  <c:v>24</c:v>
                </c:pt>
                <c:pt idx="9">
                  <c:v>33</c:v>
                </c:pt>
                <c:pt idx="10">
                  <c:v>8</c:v>
                </c:pt>
              </c:numCache>
            </c:numRef>
          </c:val>
          <c:extLst>
            <c:ext xmlns:c16="http://schemas.microsoft.com/office/drawing/2014/chart" uri="{C3380CC4-5D6E-409C-BE32-E72D297353CC}">
              <c16:uniqueId val="{00000004-5884-4390-8332-DE0C1F9D85F6}"/>
            </c:ext>
          </c:extLst>
        </c:ser>
        <c:dLbls>
          <c:showLegendKey val="0"/>
          <c:showVal val="1"/>
          <c:showCatName val="0"/>
          <c:showSerName val="0"/>
          <c:showPercent val="0"/>
          <c:showBubbleSize val="0"/>
        </c:dLbls>
        <c:gapWidth val="164"/>
        <c:overlap val="-22"/>
        <c:axId val="111926272"/>
        <c:axId val="111932544"/>
      </c:barChart>
      <c:catAx>
        <c:axId val="11192627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11932544"/>
        <c:crosses val="autoZero"/>
        <c:auto val="1"/>
        <c:lblAlgn val="ctr"/>
        <c:lblOffset val="100"/>
        <c:noMultiLvlLbl val="0"/>
      </c:catAx>
      <c:valAx>
        <c:axId val="111932544"/>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11926272"/>
        <c:crosses val="autoZero"/>
        <c:crossBetween val="between"/>
      </c:valAx>
    </c:plotArea>
    <c:legend>
      <c:legendPos val="t"/>
      <c:layout>
        <c:manualLayout>
          <c:xMode val="edge"/>
          <c:yMode val="edge"/>
          <c:x val="0.33935475456872238"/>
          <c:y val="0.2049468325522758"/>
          <c:w val="0.28796296296296553"/>
          <c:h val="7.0245906761654528E-2"/>
        </c:manualLayout>
      </c:layout>
      <c:overlay val="0"/>
      <c:txPr>
        <a:bodyPr rot="0" vert="horz"/>
        <a:lstStyle/>
        <a:p>
          <a:pPr>
            <a:defRPr/>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rot="0" vert="horz"/>
          <a:lstStyle/>
          <a:p>
            <a:pPr>
              <a:defRPr/>
            </a:pPr>
            <a:r>
              <a:rPr lang="en-US" sz="1600">
                <a:solidFill>
                  <a:schemeClr val="tx2">
                    <a:lumMod val="75000"/>
                  </a:schemeClr>
                </a:solidFill>
              </a:rPr>
              <a:t>Ekspertët sipas kategorive për vitin akademik 2017-2018</a:t>
            </a:r>
          </a:p>
        </c:rich>
      </c:tx>
      <c:overlay val="0"/>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Ekspertët sipas kategorive për vitin akademik 2016-2017</c:v>
                </c:pt>
              </c:strCache>
            </c:strRef>
          </c:tx>
          <c:dLbls>
            <c:dLbl>
              <c:idx val="4"/>
              <c:layout>
                <c:manualLayout>
                  <c:x val="3.9437820041227541E-2"/>
                  <c:y val="1.98832711700511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50B-4D79-9C21-405A85D17ED8}"/>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Sheet1!$A$2:$A$7</c:f>
              <c:strCache>
                <c:ptCount val="6"/>
                <c:pt idx="0">
                  <c:v>Ekspertë të huaj</c:v>
                </c:pt>
                <c:pt idx="1">
                  <c:v>Pedagogë të brendshëm</c:v>
                </c:pt>
                <c:pt idx="2">
                  <c:v>Gjyqtarë</c:v>
                </c:pt>
                <c:pt idx="3">
                  <c:v>Prokurorë</c:v>
                </c:pt>
                <c:pt idx="4">
                  <c:v>Avokatë</c:v>
                </c:pt>
                <c:pt idx="5">
                  <c:v>Të tjerë</c:v>
                </c:pt>
              </c:strCache>
            </c:strRef>
          </c:cat>
          <c:val>
            <c:numRef>
              <c:f>Sheet1!$B$2:$B$7</c:f>
              <c:numCache>
                <c:formatCode>General</c:formatCode>
                <c:ptCount val="6"/>
                <c:pt idx="0">
                  <c:v>17</c:v>
                </c:pt>
                <c:pt idx="1">
                  <c:v>7</c:v>
                </c:pt>
                <c:pt idx="2">
                  <c:v>23</c:v>
                </c:pt>
                <c:pt idx="3">
                  <c:v>19</c:v>
                </c:pt>
                <c:pt idx="4">
                  <c:v>5</c:v>
                </c:pt>
                <c:pt idx="5">
                  <c:v>15</c:v>
                </c:pt>
              </c:numCache>
            </c:numRef>
          </c:val>
          <c:extLst>
            <c:ext xmlns:c16="http://schemas.microsoft.com/office/drawing/2014/chart" uri="{C3380CC4-5D6E-409C-BE32-E72D297353CC}">
              <c16:uniqueId val="{0000000C-450B-4D79-9C21-405A85D17ED8}"/>
            </c:ext>
          </c:extLst>
        </c:ser>
        <c:dLbls>
          <c:showLegendKey val="0"/>
          <c:showVal val="0"/>
          <c:showCatName val="0"/>
          <c:showSerName val="0"/>
          <c:showPercent val="0"/>
          <c:showBubbleSize val="0"/>
          <c:showLeaderLines val="1"/>
        </c:dLbls>
      </c:pie3DChart>
    </c:plotArea>
    <c:legend>
      <c:legendPos val="b"/>
      <c:overlay val="0"/>
      <c:txPr>
        <a:bodyPr rot="0" vert="horz"/>
        <a:lstStyle/>
        <a:p>
          <a:pPr>
            <a:defRPr/>
          </a:pPr>
          <a:endParaRPr lang="en-US"/>
        </a:p>
      </c:txPr>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none" spc="50" baseline="0">
                <a:solidFill>
                  <a:schemeClr val="tx1">
                    <a:lumMod val="65000"/>
                    <a:lumOff val="35000"/>
                  </a:schemeClr>
                </a:solidFill>
                <a:latin typeface="+mn-lt"/>
                <a:ea typeface="+mn-ea"/>
                <a:cs typeface="+mn-cs"/>
              </a:defRPr>
            </a:pPr>
            <a:r>
              <a:rPr lang="en-US" sz="1400"/>
              <a:t>Pjesëmarrja/certifikimi</a:t>
            </a:r>
            <a:r>
              <a:rPr lang="en-US" sz="1400" baseline="0"/>
              <a:t> për vitin akademik 2017-2018</a:t>
            </a:r>
            <a:endParaRPr lang="sq-AL" sz="1400"/>
          </a:p>
        </c:rich>
      </c:tx>
      <c:overlay val="0"/>
      <c:spPr>
        <a:noFill/>
        <a:ln>
          <a:noFill/>
        </a:ln>
        <a:effectLst/>
      </c:spPr>
    </c:title>
    <c:autoTitleDeleted val="0"/>
    <c:plotArea>
      <c:layout>
        <c:manualLayout>
          <c:layoutTarget val="inner"/>
          <c:xMode val="edge"/>
          <c:yMode val="edge"/>
          <c:x val="9.0028069407990727E-2"/>
          <c:y val="0.22208380202474687"/>
          <c:w val="0.89828885972586758"/>
          <c:h val="0.66210942382202265"/>
        </c:manualLayout>
      </c:layout>
      <c:barChart>
        <c:barDir val="col"/>
        <c:grouping val="clustered"/>
        <c:varyColors val="0"/>
        <c:ser>
          <c:idx val="0"/>
          <c:order val="0"/>
          <c:tx>
            <c:strRef>
              <c:f>Sheet1!$B$1</c:f>
              <c:strCache>
                <c:ptCount val="1"/>
                <c:pt idx="0">
                  <c:v>Të çertifikuar</c:v>
                </c:pt>
              </c:strCache>
            </c:strRef>
          </c:tx>
          <c:spPr>
            <a:noFill/>
            <a:ln w="25400" cap="flat" cmpd="sng" algn="ctr">
              <a:solidFill>
                <a:schemeClr val="accent6"/>
              </a:solidFill>
              <a:miter lim="800000"/>
            </a:ln>
            <a:effectLst/>
          </c:spPr>
          <c:invertIfNegative val="0"/>
          <c:dLbls>
            <c:dLbl>
              <c:idx val="2"/>
              <c:layout>
                <c:manualLayout>
                  <c:x val="0"/>
                  <c:y val="1.5290519877675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A6-4957-B36A-350ECC2340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9"/>
                <c:pt idx="0">
                  <c:v>Gjyqtarë</c:v>
                </c:pt>
                <c:pt idx="1">
                  <c:v>Prokurorë</c:v>
                </c:pt>
                <c:pt idx="2">
                  <c:v>Kand. Magj</c:v>
                </c:pt>
                <c:pt idx="3">
                  <c:v>OPGJ</c:v>
                </c:pt>
                <c:pt idx="4">
                  <c:v>KLD</c:v>
                </c:pt>
                <c:pt idx="5">
                  <c:v>Avokatë</c:v>
                </c:pt>
                <c:pt idx="6">
                  <c:v>Nd/ligjorë</c:v>
                </c:pt>
                <c:pt idx="7">
                  <c:v>Kancel.</c:v>
                </c:pt>
                <c:pt idx="8">
                  <c:v>Sek. Gjyqesor</c:v>
                </c:pt>
              </c:strCache>
            </c:strRef>
          </c:cat>
          <c:val>
            <c:numRef>
              <c:f>Sheet1!$B$2:$B$11</c:f>
              <c:numCache>
                <c:formatCode>General</c:formatCode>
                <c:ptCount val="10"/>
                <c:pt idx="0">
                  <c:v>1509</c:v>
                </c:pt>
                <c:pt idx="1">
                  <c:v>1124</c:v>
                </c:pt>
                <c:pt idx="2">
                  <c:v>166</c:v>
                </c:pt>
                <c:pt idx="3">
                  <c:v>4</c:v>
                </c:pt>
                <c:pt idx="4">
                  <c:v>21</c:v>
                </c:pt>
                <c:pt idx="5">
                  <c:v>57</c:v>
                </c:pt>
                <c:pt idx="6">
                  <c:v>16</c:v>
                </c:pt>
                <c:pt idx="7">
                  <c:v>34</c:v>
                </c:pt>
                <c:pt idx="8">
                  <c:v>92</c:v>
                </c:pt>
              </c:numCache>
            </c:numRef>
          </c:val>
          <c:extLst>
            <c:ext xmlns:c16="http://schemas.microsoft.com/office/drawing/2014/chart" uri="{C3380CC4-5D6E-409C-BE32-E72D297353CC}">
              <c16:uniqueId val="{00000000-3FA5-488F-AE0B-081D8C0AE8B0}"/>
            </c:ext>
          </c:extLst>
        </c:ser>
        <c:ser>
          <c:idx val="1"/>
          <c:order val="1"/>
          <c:tx>
            <c:strRef>
              <c:f>Sheet1!$C$1</c:f>
              <c:strCache>
                <c:ptCount val="1"/>
                <c:pt idx="0">
                  <c:v>Të ardhur</c:v>
                </c:pt>
              </c:strCache>
            </c:strRef>
          </c:tx>
          <c:spPr>
            <a:noFill/>
            <a:ln w="25400" cap="flat" cmpd="sng" algn="ctr">
              <a:solidFill>
                <a:schemeClr val="accent5"/>
              </a:solidFill>
              <a:miter lim="800000"/>
            </a:ln>
            <a:effectLst/>
          </c:spPr>
          <c:invertIfNegative val="0"/>
          <c:dLbls>
            <c:dLbl>
              <c:idx val="2"/>
              <c:layout>
                <c:manualLayout>
                  <c:x val="4.6296296296296337E-3"/>
                  <c:y val="-2.03873598369011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A6-4957-B36A-350ECC2340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9"/>
                <c:pt idx="0">
                  <c:v>Gjyqtarë</c:v>
                </c:pt>
                <c:pt idx="1">
                  <c:v>Prokurorë</c:v>
                </c:pt>
                <c:pt idx="2">
                  <c:v>Kand. Magj</c:v>
                </c:pt>
                <c:pt idx="3">
                  <c:v>OPGJ</c:v>
                </c:pt>
                <c:pt idx="4">
                  <c:v>KLD</c:v>
                </c:pt>
                <c:pt idx="5">
                  <c:v>Avokatë</c:v>
                </c:pt>
                <c:pt idx="6">
                  <c:v>Nd/ligjorë</c:v>
                </c:pt>
                <c:pt idx="7">
                  <c:v>Kancel.</c:v>
                </c:pt>
                <c:pt idx="8">
                  <c:v>Sek. Gjyqesor</c:v>
                </c:pt>
              </c:strCache>
            </c:strRef>
          </c:cat>
          <c:val>
            <c:numRef>
              <c:f>Sheet1!$C$2:$C$11</c:f>
              <c:numCache>
                <c:formatCode>General</c:formatCode>
                <c:ptCount val="10"/>
                <c:pt idx="0">
                  <c:v>1992</c:v>
                </c:pt>
                <c:pt idx="1">
                  <c:v>1501</c:v>
                </c:pt>
                <c:pt idx="2">
                  <c:v>142</c:v>
                </c:pt>
                <c:pt idx="3">
                  <c:v>4</c:v>
                </c:pt>
                <c:pt idx="4">
                  <c:v>24</c:v>
                </c:pt>
                <c:pt idx="5">
                  <c:v>40</c:v>
                </c:pt>
                <c:pt idx="6">
                  <c:v>15</c:v>
                </c:pt>
                <c:pt idx="7">
                  <c:v>45</c:v>
                </c:pt>
                <c:pt idx="8">
                  <c:v>97</c:v>
                </c:pt>
              </c:numCache>
            </c:numRef>
          </c:val>
          <c:extLst>
            <c:ext xmlns:c16="http://schemas.microsoft.com/office/drawing/2014/chart" uri="{C3380CC4-5D6E-409C-BE32-E72D297353CC}">
              <c16:uniqueId val="{00000001-3FA5-488F-AE0B-081D8C0AE8B0}"/>
            </c:ext>
          </c:extLst>
        </c:ser>
        <c:ser>
          <c:idx val="2"/>
          <c:order val="2"/>
          <c:tx>
            <c:strRef>
              <c:f>Sheet1!$D$1</c:f>
              <c:strCache>
                <c:ptCount val="1"/>
                <c:pt idx="0">
                  <c:v>Të ftuar</c:v>
                </c:pt>
              </c:strCache>
            </c:strRef>
          </c:tx>
          <c:spPr>
            <a:noFill/>
            <a:ln w="25400" cap="flat" cmpd="sng" algn="ctr">
              <a:solidFill>
                <a:schemeClr val="accent4"/>
              </a:solidFill>
              <a:miter lim="800000"/>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3FA5-488F-AE0B-081D8C0AE8B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9"/>
                <c:pt idx="0">
                  <c:v>Gjyqtarë</c:v>
                </c:pt>
                <c:pt idx="1">
                  <c:v>Prokurorë</c:v>
                </c:pt>
                <c:pt idx="2">
                  <c:v>Kand. Magj</c:v>
                </c:pt>
                <c:pt idx="3">
                  <c:v>OPGJ</c:v>
                </c:pt>
                <c:pt idx="4">
                  <c:v>KLD</c:v>
                </c:pt>
                <c:pt idx="5">
                  <c:v>Avokatë</c:v>
                </c:pt>
                <c:pt idx="6">
                  <c:v>Nd/ligjorë</c:v>
                </c:pt>
                <c:pt idx="7">
                  <c:v>Kancel.</c:v>
                </c:pt>
                <c:pt idx="8">
                  <c:v>Sek. Gjyqesor</c:v>
                </c:pt>
              </c:strCache>
            </c:strRef>
          </c:cat>
          <c:val>
            <c:numRef>
              <c:f>Sheet1!$D$2:$D$11</c:f>
              <c:numCache>
                <c:formatCode>General</c:formatCode>
                <c:ptCount val="10"/>
              </c:numCache>
            </c:numRef>
          </c:val>
          <c:extLst>
            <c:ext xmlns:c16="http://schemas.microsoft.com/office/drawing/2014/chart" uri="{C3380CC4-5D6E-409C-BE32-E72D297353CC}">
              <c16:uniqueId val="{00000003-3FA5-488F-AE0B-081D8C0AE8B0}"/>
            </c:ext>
          </c:extLst>
        </c:ser>
        <c:dLbls>
          <c:showLegendKey val="0"/>
          <c:showVal val="0"/>
          <c:showCatName val="0"/>
          <c:showSerName val="0"/>
          <c:showPercent val="0"/>
          <c:showBubbleSize val="0"/>
        </c:dLbls>
        <c:gapWidth val="164"/>
        <c:overlap val="-35"/>
        <c:axId val="118416512"/>
        <c:axId val="120289536"/>
      </c:barChart>
      <c:catAx>
        <c:axId val="11841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20289536"/>
        <c:crosses val="autoZero"/>
        <c:auto val="1"/>
        <c:lblAlgn val="ctr"/>
        <c:lblOffset val="100"/>
        <c:noMultiLvlLbl val="0"/>
      </c:catAx>
      <c:valAx>
        <c:axId val="120289536"/>
        <c:scaling>
          <c:orientation val="minMax"/>
          <c:max val="260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18416512"/>
        <c:crosses val="autoZero"/>
        <c:crossBetween val="between"/>
        <c:majorUnit val="200"/>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vert="horz"/>
          <a:lstStyle/>
          <a:p>
            <a:pPr>
              <a:defRPr/>
            </a:pPr>
            <a:r>
              <a:rPr lang="en-US" sz="1400">
                <a:solidFill>
                  <a:schemeClr val="tx2">
                    <a:lumMod val="40000"/>
                    <a:lumOff val="60000"/>
                  </a:schemeClr>
                </a:solidFill>
              </a:rPr>
              <a:t>Frekuentimi Gjyqtarë</a:t>
            </a:r>
          </a:p>
        </c:rich>
      </c:tx>
      <c:overlay val="0"/>
    </c:title>
    <c:autoTitleDeleted val="0"/>
    <c:view3D>
      <c:rotX val="5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Frekuentimi Gjyqtarë</c:v>
                </c:pt>
              </c:strCache>
            </c:strRef>
          </c:tx>
          <c:dLbls>
            <c:dLbl>
              <c:idx val="0"/>
              <c:tx>
                <c:rich>
                  <a:bodyPr rot="0" vert="horz"/>
                  <a:lstStyle/>
                  <a:p>
                    <a:pPr>
                      <a:defRPr/>
                    </a:pPr>
                    <a:r>
                      <a:rPr lang="en-US"/>
                      <a:t>Të ardhur 1992</a:t>
                    </a:r>
                  </a:p>
                </c:rich>
              </c:tx>
              <c:sp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FD-4FF2-98C4-90C58144486A}"/>
                </c:ext>
              </c:extLst>
            </c:dLbl>
            <c:dLbl>
              <c:idx val="1"/>
              <c:tx>
                <c:rich>
                  <a:bodyPr rot="0" vert="horz"/>
                  <a:lstStyle/>
                  <a:p>
                    <a:pPr>
                      <a:defRPr/>
                    </a:pPr>
                    <a:r>
                      <a:rPr lang="en-US"/>
                      <a:t>Të certifikuar 1509</a:t>
                    </a:r>
                  </a:p>
                </c:rich>
              </c:tx>
              <c:sp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FFD-4FF2-98C4-90C58144486A}"/>
                </c:ext>
              </c:extLst>
            </c:dLbl>
            <c:dLbl>
              <c:idx val="2"/>
              <c:tx>
                <c:rich>
                  <a:bodyPr rot="0" vert="horz"/>
                  <a:lstStyle/>
                  <a:p>
                    <a:pPr>
                      <a:defRPr/>
                    </a:pPr>
                    <a:r>
                      <a:rPr lang="en-US"/>
                      <a:t>Të ftuar  </a:t>
                    </a:r>
                  </a:p>
                </c:rich>
              </c:tx>
              <c:sp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FFD-4FF2-98C4-90C58144486A}"/>
                </c:ext>
              </c:extLst>
            </c:dLbl>
            <c:spPr>
              <a:noFill/>
              <a:ln>
                <a:noFill/>
              </a:ln>
              <a:effectLst/>
            </c:sp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Sheet1!$A$2:$A$4</c:f>
              <c:strCache>
                <c:ptCount val="3"/>
                <c:pt idx="0">
                  <c:v>Te ardhur</c:v>
                </c:pt>
                <c:pt idx="1">
                  <c:v>Te certifikuar</c:v>
                </c:pt>
                <c:pt idx="2">
                  <c:v>Të ftuar </c:v>
                </c:pt>
              </c:strCache>
            </c:strRef>
          </c:cat>
          <c:val>
            <c:numRef>
              <c:f>Sheet1!$B$2:$B$4</c:f>
              <c:numCache>
                <c:formatCode>General</c:formatCode>
                <c:ptCount val="3"/>
                <c:pt idx="0">
                  <c:v>1660</c:v>
                </c:pt>
                <c:pt idx="1">
                  <c:v>1342</c:v>
                </c:pt>
                <c:pt idx="2">
                  <c:v>2575</c:v>
                </c:pt>
              </c:numCache>
            </c:numRef>
          </c:val>
          <c:extLst>
            <c:ext xmlns:c16="http://schemas.microsoft.com/office/drawing/2014/chart" uri="{C3380CC4-5D6E-409C-BE32-E72D297353CC}">
              <c16:uniqueId val="{00000006-AFFD-4FF2-98C4-90C58144486A}"/>
            </c:ext>
          </c:extLst>
        </c:ser>
        <c:dLbls>
          <c:showLegendKey val="0"/>
          <c:showVal val="0"/>
          <c:showCatName val="0"/>
          <c:showSerName val="0"/>
          <c:showPercent val="1"/>
          <c:showBubbleSize val="0"/>
          <c:showLeaderLines val="1"/>
        </c:dLbls>
      </c:pie3DChart>
    </c:plotArea>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vert="horz"/>
          <a:lstStyle/>
          <a:p>
            <a:pPr>
              <a:defRPr/>
            </a:pPr>
            <a:r>
              <a:rPr lang="en-US" sz="1400">
                <a:solidFill>
                  <a:schemeClr val="tx2">
                    <a:lumMod val="60000"/>
                    <a:lumOff val="40000"/>
                  </a:schemeClr>
                </a:solidFill>
              </a:rPr>
              <a:t>Frekuentimi Prokurorë</a:t>
            </a:r>
          </a:p>
        </c:rich>
      </c:tx>
      <c:overlay val="0"/>
    </c:title>
    <c:autoTitleDeleted val="0"/>
    <c:view3D>
      <c:rotX val="50"/>
      <c:rotY val="0"/>
      <c:depthPercent val="100"/>
      <c:rAngAx val="0"/>
    </c:view3D>
    <c:floor>
      <c:thickness val="0"/>
    </c:floor>
    <c:sideWall>
      <c:thickness val="0"/>
    </c:sideWall>
    <c:backWall>
      <c:thickness val="0"/>
    </c:backWall>
    <c:plotArea>
      <c:layout>
        <c:manualLayout>
          <c:layoutTarget val="inner"/>
          <c:xMode val="edge"/>
          <c:yMode val="edge"/>
          <c:x val="7.0784303409735322E-2"/>
          <c:y val="0.15566046500824571"/>
          <c:w val="0.85848809544686644"/>
          <c:h val="0.73686096207000673"/>
        </c:manualLayout>
      </c:layout>
      <c:pie3DChart>
        <c:varyColors val="1"/>
        <c:ser>
          <c:idx val="0"/>
          <c:order val="0"/>
          <c:tx>
            <c:strRef>
              <c:f>Sheet1!$B$1</c:f>
              <c:strCache>
                <c:ptCount val="1"/>
                <c:pt idx="0">
                  <c:v>Frekuentimi Prokurorë</c:v>
                </c:pt>
              </c:strCache>
            </c:strRef>
          </c:tx>
          <c:dLbls>
            <c:dLbl>
              <c:idx val="0"/>
              <c:tx>
                <c:rich>
                  <a:bodyPr rot="0" vert="horz"/>
                  <a:lstStyle/>
                  <a:p>
                    <a:pPr>
                      <a:defRPr/>
                    </a:pPr>
                    <a:r>
                      <a:rPr lang="en-US"/>
                      <a:t>Të ardhur 1501</a:t>
                    </a:r>
                  </a:p>
                </c:rich>
              </c:tx>
              <c:sp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6D-46A1-8F9D-6C4FD81299C2}"/>
                </c:ext>
              </c:extLst>
            </c:dLbl>
            <c:dLbl>
              <c:idx val="1"/>
              <c:tx>
                <c:rich>
                  <a:bodyPr rot="0" vert="horz"/>
                  <a:lstStyle/>
                  <a:p>
                    <a:pPr>
                      <a:defRPr/>
                    </a:pPr>
                    <a:r>
                      <a:rPr lang="en-US"/>
                      <a:t>Të certifikuar 1124</a:t>
                    </a:r>
                  </a:p>
                </c:rich>
              </c:tx>
              <c:sp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6D-46A1-8F9D-6C4FD81299C2}"/>
                </c:ext>
              </c:extLst>
            </c:dLbl>
            <c:dLbl>
              <c:idx val="2"/>
              <c:tx>
                <c:rich>
                  <a:bodyPr rot="0" vert="horz"/>
                  <a:lstStyle/>
                  <a:p>
                    <a:pPr>
                      <a:defRPr/>
                    </a:pPr>
                    <a:r>
                      <a:rPr lang="en-US"/>
                      <a:t>Të ftuar</a:t>
                    </a:r>
                  </a:p>
                </c:rich>
              </c:tx>
              <c:sp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6D-46A1-8F9D-6C4FD81299C2}"/>
                </c:ext>
              </c:extLst>
            </c:dLbl>
            <c:spPr>
              <a:noFill/>
              <a:ln>
                <a:noFill/>
              </a:ln>
              <a:effectLst/>
            </c:sp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Sheet1!$A$2:$A$4</c:f>
              <c:strCache>
                <c:ptCount val="3"/>
                <c:pt idx="0">
                  <c:v>Të ardhur</c:v>
                </c:pt>
                <c:pt idx="1">
                  <c:v>Të certifikuar</c:v>
                </c:pt>
                <c:pt idx="2">
                  <c:v>Të ftuar</c:v>
                </c:pt>
              </c:strCache>
            </c:strRef>
          </c:cat>
          <c:val>
            <c:numRef>
              <c:f>Sheet1!$B$2:$B$4</c:f>
              <c:numCache>
                <c:formatCode>General</c:formatCode>
                <c:ptCount val="3"/>
                <c:pt idx="0">
                  <c:v>890</c:v>
                </c:pt>
                <c:pt idx="1">
                  <c:v>650</c:v>
                </c:pt>
                <c:pt idx="2">
                  <c:v>1800</c:v>
                </c:pt>
              </c:numCache>
            </c:numRef>
          </c:val>
          <c:extLst>
            <c:ext xmlns:c16="http://schemas.microsoft.com/office/drawing/2014/chart" uri="{C3380CC4-5D6E-409C-BE32-E72D297353CC}">
              <c16:uniqueId val="{00000006-296D-46A1-8F9D-6C4FD81299C2}"/>
            </c:ext>
          </c:extLst>
        </c:ser>
        <c:dLbls>
          <c:showLegendKey val="0"/>
          <c:showVal val="0"/>
          <c:showCatName val="1"/>
          <c:showSerName val="0"/>
          <c:showPercent val="0"/>
          <c:showBubbleSize val="0"/>
          <c:showLeaderLines val="1"/>
        </c:dLbls>
      </c:pie3DChart>
    </c:plotArea>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vert="horz"/>
          <a:lstStyle/>
          <a:p>
            <a:pPr>
              <a:defRPr/>
            </a:pPr>
            <a:r>
              <a:rPr lang="en-US" sz="1400">
                <a:solidFill>
                  <a:schemeClr val="tx2">
                    <a:lumMod val="75000"/>
                  </a:schemeClr>
                </a:solidFill>
              </a:rPr>
              <a:t>Frekuentimi i gjyqtarëve/prokurorëve për vitin akademik 2017-2018</a:t>
            </a:r>
          </a:p>
        </c:rich>
      </c:tx>
      <c:overlay val="0"/>
    </c:title>
    <c:autoTitleDeleted val="0"/>
    <c:view3D>
      <c:rotX val="30"/>
      <c:rotY val="0"/>
      <c:depthPercent val="100"/>
      <c:rAngAx val="0"/>
    </c:view3D>
    <c:floor>
      <c:thickness val="0"/>
    </c:floor>
    <c:sideWall>
      <c:thickness val="0"/>
    </c:sideWall>
    <c:backWall>
      <c:thickness val="0"/>
    </c:backWall>
    <c:plotArea>
      <c:layout/>
      <c:pie3DChart>
        <c:varyColors val="1"/>
        <c:ser>
          <c:idx val="0"/>
          <c:order val="0"/>
          <c:tx>
            <c:strRef>
              <c:f>Sheet1!$B$1</c:f>
              <c:strCache>
                <c:ptCount val="1"/>
                <c:pt idx="0">
                  <c:v>Frekuentimi i gjyqtarë/prokurorë për vitin akademik 2016-2017</c:v>
                </c:pt>
              </c:strCache>
            </c:strRef>
          </c:tx>
          <c:dLbls>
            <c:dLbl>
              <c:idx val="0"/>
              <c:tx>
                <c:rich>
                  <a:bodyPr/>
                  <a:lstStyle/>
                  <a:p>
                    <a:r>
                      <a:rPr lang="en-US"/>
                      <a:t>Gjyqtarë</a:t>
                    </a:r>
                    <a:r>
                      <a:rPr lang="en-US" baseline="0"/>
                      <a:t> 57%</a:t>
                    </a:r>
                    <a:endParaRPr lang="en-US"/>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67C-4DF5-A7F2-7BE68110A556}"/>
                </c:ext>
              </c:extLst>
            </c:dLbl>
            <c:dLbl>
              <c:idx val="1"/>
              <c:layout>
                <c:manualLayout>
                  <c:x val="9.5328884652049681E-3"/>
                  <c:y val="-3.6687631027253718E-2"/>
                </c:manualLayout>
              </c:layout>
              <c:tx>
                <c:rich>
                  <a:bodyPr/>
                  <a:lstStyle/>
                  <a:p>
                    <a:r>
                      <a:rPr lang="en-US" sz="900"/>
                      <a:t>Prokurorë, 43%</a:t>
                    </a:r>
                    <a:r>
                      <a:rPr lang="en-US" sz="900" baseline="0"/>
                      <a:t>                </a:t>
                    </a:r>
                    <a:endParaRPr lang="en-US" sz="900"/>
                  </a:p>
                </c:rich>
              </c:tx>
              <c:dLblPos val="inEnd"/>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7C-4DF5-A7F2-7BE68110A556}"/>
                </c:ext>
              </c:extLst>
            </c:dLbl>
            <c:spPr>
              <a:noFill/>
              <a:ln>
                <a:noFill/>
              </a:ln>
              <a:effectLst/>
            </c:spPr>
            <c:txPr>
              <a:bodyPr rot="0" vert="horz"/>
              <a:lstStyle/>
              <a:p>
                <a:pPr>
                  <a:defRPr/>
                </a:pPr>
                <a:endParaRPr lang="en-US"/>
              </a:p>
            </c:txPr>
            <c:dLblPos val="inEnd"/>
            <c:showLegendKey val="0"/>
            <c:showVal val="1"/>
            <c:showCatName val="1"/>
            <c:showSerName val="0"/>
            <c:showPercent val="0"/>
            <c:showBubbleSize val="0"/>
            <c:showLeaderLines val="1"/>
            <c:extLst>
              <c:ext xmlns:c15="http://schemas.microsoft.com/office/drawing/2012/chart" uri="{CE6537A1-D6FC-4f65-9D91-7224C49458BB}"/>
            </c:extLst>
          </c:dLbls>
          <c:cat>
            <c:strRef>
              <c:f>Sheet1!$A$2:$A$3</c:f>
              <c:strCache>
                <c:ptCount val="2"/>
                <c:pt idx="0">
                  <c:v>Gjyqtarë</c:v>
                </c:pt>
                <c:pt idx="1">
                  <c:v>Prokurorë</c:v>
                </c:pt>
              </c:strCache>
            </c:strRef>
          </c:cat>
          <c:val>
            <c:numRef>
              <c:f>Sheet1!$B$2:$B$3</c:f>
              <c:numCache>
                <c:formatCode>General</c:formatCode>
                <c:ptCount val="2"/>
                <c:pt idx="0">
                  <c:v>1884</c:v>
                </c:pt>
                <c:pt idx="1">
                  <c:v>1418</c:v>
                </c:pt>
              </c:numCache>
            </c:numRef>
          </c:val>
          <c:extLst>
            <c:ext xmlns:c16="http://schemas.microsoft.com/office/drawing/2014/chart" uri="{C3380CC4-5D6E-409C-BE32-E72D297353CC}">
              <c16:uniqueId val="{00000004-C67C-4DF5-A7F2-7BE68110A556}"/>
            </c:ext>
          </c:extLst>
        </c:ser>
        <c:dLbls>
          <c:showLegendKey val="0"/>
          <c:showVal val="0"/>
          <c:showCatName val="1"/>
          <c:showSerName val="0"/>
          <c:showPercent val="0"/>
          <c:showBubbleSize val="0"/>
          <c:showLeaderLines val="1"/>
        </c:dLbls>
      </c:pie3DChart>
    </c:plotArea>
    <c:legend>
      <c:legendPos val="b"/>
      <c:overlay val="0"/>
      <c:txPr>
        <a:bodyPr rot="0" vert="horz"/>
        <a:lstStyle/>
        <a:p>
          <a:pPr>
            <a:defRPr/>
          </a:pPr>
          <a:endParaRPr lang="en-U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sz="1400">
                <a:solidFill>
                  <a:schemeClr val="tx2">
                    <a:lumMod val="60000"/>
                    <a:lumOff val="40000"/>
                  </a:schemeClr>
                </a:solidFill>
              </a:rPr>
              <a:t>Ditët e trajnimit për gjyqtarë dhe prokurorë për vitin akademik 2017-2018</a:t>
            </a:r>
            <a:endParaRPr lang="sq-AL" sz="1400">
              <a:solidFill>
                <a:schemeClr val="tx2">
                  <a:lumMod val="60000"/>
                  <a:lumOff val="40000"/>
                </a:schemeClr>
              </a:solidFill>
            </a:endParaRPr>
          </a:p>
        </c:rich>
      </c:tx>
      <c:overlay val="0"/>
    </c:title>
    <c:autoTitleDeleted val="0"/>
    <c:plotArea>
      <c:layout/>
      <c:barChart>
        <c:barDir val="col"/>
        <c:grouping val="clustered"/>
        <c:varyColors val="0"/>
        <c:ser>
          <c:idx val="0"/>
          <c:order val="0"/>
          <c:tx>
            <c:strRef>
              <c:f>Sheet1!$B$1</c:f>
              <c:strCache>
                <c:ptCount val="1"/>
                <c:pt idx="0">
                  <c:v>Gjyqtarë</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7D5-4BFB-B174-531FB5A19573}"/>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0 ditë</c:v>
                </c:pt>
                <c:pt idx="1">
                  <c:v>0-1 ditë</c:v>
                </c:pt>
                <c:pt idx="2">
                  <c:v>1-3 ditë</c:v>
                </c:pt>
                <c:pt idx="3">
                  <c:v>3-5 ditë</c:v>
                </c:pt>
                <c:pt idx="4">
                  <c:v>5-10 ditë</c:v>
                </c:pt>
                <c:pt idx="5">
                  <c:v>10-20 ditë</c:v>
                </c:pt>
                <c:pt idx="6">
                  <c:v>mbi 20 ditë</c:v>
                </c:pt>
              </c:strCache>
            </c:strRef>
          </c:cat>
          <c:val>
            <c:numRef>
              <c:f>Sheet1!$B$2:$B$8</c:f>
              <c:numCache>
                <c:formatCode>General</c:formatCode>
                <c:ptCount val="7"/>
                <c:pt idx="0">
                  <c:v>15</c:v>
                </c:pt>
                <c:pt idx="1">
                  <c:v>20</c:v>
                </c:pt>
                <c:pt idx="2">
                  <c:v>150</c:v>
                </c:pt>
                <c:pt idx="3">
                  <c:v>140</c:v>
                </c:pt>
                <c:pt idx="4">
                  <c:v>125</c:v>
                </c:pt>
                <c:pt idx="5">
                  <c:v>34</c:v>
                </c:pt>
                <c:pt idx="6">
                  <c:v>2</c:v>
                </c:pt>
              </c:numCache>
            </c:numRef>
          </c:val>
          <c:extLst>
            <c:ext xmlns:c16="http://schemas.microsoft.com/office/drawing/2014/chart" uri="{C3380CC4-5D6E-409C-BE32-E72D297353CC}">
              <c16:uniqueId val="{00000001-57D5-4BFB-B174-531FB5A19573}"/>
            </c:ext>
          </c:extLst>
        </c:ser>
        <c:ser>
          <c:idx val="1"/>
          <c:order val="1"/>
          <c:tx>
            <c:strRef>
              <c:f>Sheet1!$C$1</c:f>
              <c:strCache>
                <c:ptCount val="1"/>
                <c:pt idx="0">
                  <c:v>Prokurorë</c:v>
                </c:pt>
              </c:strCache>
            </c:strRef>
          </c:tx>
          <c:invertIfNegative val="0"/>
          <c:dLbls>
            <c:dLbl>
              <c:idx val="0"/>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D5-4BFB-B174-531FB5A19573}"/>
                </c:ext>
              </c:extLst>
            </c:dLbl>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0 ditë</c:v>
                </c:pt>
                <c:pt idx="1">
                  <c:v>0-1 ditë</c:v>
                </c:pt>
                <c:pt idx="2">
                  <c:v>1-3 ditë</c:v>
                </c:pt>
                <c:pt idx="3">
                  <c:v>3-5 ditë</c:v>
                </c:pt>
                <c:pt idx="4">
                  <c:v>5-10 ditë</c:v>
                </c:pt>
                <c:pt idx="5">
                  <c:v>10-20 ditë</c:v>
                </c:pt>
                <c:pt idx="6">
                  <c:v>mbi 20 ditë</c:v>
                </c:pt>
              </c:strCache>
            </c:strRef>
          </c:cat>
          <c:val>
            <c:numRef>
              <c:f>Sheet1!$C$2:$C$8</c:f>
              <c:numCache>
                <c:formatCode>General</c:formatCode>
                <c:ptCount val="7"/>
                <c:pt idx="0">
                  <c:v>10</c:v>
                </c:pt>
                <c:pt idx="1">
                  <c:v>21</c:v>
                </c:pt>
                <c:pt idx="2">
                  <c:v>100</c:v>
                </c:pt>
                <c:pt idx="3">
                  <c:v>120</c:v>
                </c:pt>
                <c:pt idx="4">
                  <c:v>98</c:v>
                </c:pt>
                <c:pt idx="5">
                  <c:v>7</c:v>
                </c:pt>
                <c:pt idx="6">
                  <c:v>1</c:v>
                </c:pt>
              </c:numCache>
            </c:numRef>
          </c:val>
          <c:extLst>
            <c:ext xmlns:c16="http://schemas.microsoft.com/office/drawing/2014/chart" uri="{C3380CC4-5D6E-409C-BE32-E72D297353CC}">
              <c16:uniqueId val="{00000003-57D5-4BFB-B174-531FB5A19573}"/>
            </c:ext>
          </c:extLst>
        </c:ser>
        <c:dLbls>
          <c:showLegendKey val="0"/>
          <c:showVal val="0"/>
          <c:showCatName val="0"/>
          <c:showSerName val="0"/>
          <c:showPercent val="0"/>
          <c:showBubbleSize val="0"/>
        </c:dLbls>
        <c:gapWidth val="164"/>
        <c:overlap val="-22"/>
        <c:axId val="153687552"/>
        <c:axId val="153689472"/>
      </c:barChart>
      <c:catAx>
        <c:axId val="153687552"/>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153689472"/>
        <c:crosses val="autoZero"/>
        <c:auto val="1"/>
        <c:lblAlgn val="ctr"/>
        <c:lblOffset val="100"/>
        <c:noMultiLvlLbl val="0"/>
      </c:catAx>
      <c:valAx>
        <c:axId val="153689472"/>
        <c:scaling>
          <c:orientation val="minMax"/>
        </c:scaling>
        <c:delete val="0"/>
        <c:axPos val="l"/>
        <c:numFmt formatCode="General" sourceLinked="1"/>
        <c:majorTickMark val="none"/>
        <c:minorTickMark val="none"/>
        <c:tickLblPos val="nextTo"/>
        <c:txPr>
          <a:bodyPr rot="-60000000" vert="horz"/>
          <a:lstStyle/>
          <a:p>
            <a:pPr>
              <a:defRPr/>
            </a:pPr>
            <a:endParaRPr lang="en-US"/>
          </a:p>
        </c:txPr>
        <c:crossAx val="153687552"/>
        <c:crosses val="autoZero"/>
        <c:crossBetween val="between"/>
      </c:valAx>
    </c:plotArea>
    <c:legend>
      <c:legendPos val="t"/>
      <c:overlay val="0"/>
      <c:txPr>
        <a:bodyPr rot="0" vert="horz"/>
        <a:lstStyle/>
        <a:p>
          <a:pPr>
            <a:defRPr/>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2">
                    <a:lumMod val="60000"/>
                    <a:lumOff val="40000"/>
                  </a:schemeClr>
                </a:solidFill>
              </a:rPr>
              <a:t>Ditët e trajnimit për çdo prokuror pë vitin akademik 2017-2018</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Ditë e trajnimit për çdo prokurorë pë vitin akademik 2016-2017</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CE2-488B-AEAD-E1138DD2E5E9}"/>
              </c:ext>
            </c:extLst>
          </c:dPt>
          <c:dPt>
            <c:idx val="1"/>
            <c:bubble3D val="0"/>
            <c:explosion val="5"/>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CE2-488B-AEAD-E1138DD2E5E9}"/>
              </c:ext>
            </c:extLst>
          </c:dPt>
          <c:dPt>
            <c:idx val="2"/>
            <c:bubble3D val="0"/>
            <c:explosion val="12"/>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CE2-488B-AEAD-E1138DD2E5E9}"/>
              </c:ext>
            </c:extLst>
          </c:dPt>
          <c:dPt>
            <c:idx val="3"/>
            <c:bubble3D val="0"/>
            <c:explosion val="13"/>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CE2-488B-AEAD-E1138DD2E5E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CE2-488B-AEAD-E1138DD2E5E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CE2-488B-AEAD-E1138DD2E5E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E2-488B-AEAD-E1138DD2E5E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E2-488B-AEAD-E1138DD2E5E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E2-488B-AEAD-E1138DD2E5E9}"/>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E2-488B-AEAD-E1138DD2E5E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Sheet1!$A$2:$A$8</c:f>
              <c:strCache>
                <c:ptCount val="7"/>
                <c:pt idx="0">
                  <c:v>0 dite</c:v>
                </c:pt>
                <c:pt idx="1">
                  <c:v>0-1 ditë</c:v>
                </c:pt>
                <c:pt idx="2">
                  <c:v>1-3 ditë</c:v>
                </c:pt>
                <c:pt idx="3">
                  <c:v>3-5 ditë</c:v>
                </c:pt>
                <c:pt idx="4">
                  <c:v>5-10 ditë</c:v>
                </c:pt>
                <c:pt idx="5">
                  <c:v>10-20 ditë</c:v>
                </c:pt>
                <c:pt idx="6">
                  <c:v>mbi 20 ditë</c:v>
                </c:pt>
              </c:strCache>
            </c:strRef>
          </c:cat>
          <c:val>
            <c:numRef>
              <c:f>Sheet1!$B$2:$B$8</c:f>
              <c:numCache>
                <c:formatCode>General</c:formatCode>
                <c:ptCount val="7"/>
                <c:pt idx="0">
                  <c:v>10</c:v>
                </c:pt>
                <c:pt idx="1">
                  <c:v>21</c:v>
                </c:pt>
                <c:pt idx="2">
                  <c:v>100</c:v>
                </c:pt>
                <c:pt idx="3">
                  <c:v>120</c:v>
                </c:pt>
                <c:pt idx="4">
                  <c:v>98</c:v>
                </c:pt>
                <c:pt idx="5">
                  <c:v>7</c:v>
                </c:pt>
                <c:pt idx="6">
                  <c:v>1</c:v>
                </c:pt>
              </c:numCache>
            </c:numRef>
          </c:val>
          <c:extLst>
            <c:ext xmlns:c16="http://schemas.microsoft.com/office/drawing/2014/chart" uri="{C3380CC4-5D6E-409C-BE32-E72D297353CC}">
              <c16:uniqueId val="{0000000C-BCE2-488B-AEAD-E1138DD2E5E9}"/>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6.879830125400993E-2"/>
          <c:y val="0.89732095988001459"/>
          <c:w val="0.7860143263342082"/>
          <c:h val="7.88695163104611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7F5034"/>
      </a:accent1>
      <a:accent2>
        <a:srgbClr val="CC9966"/>
      </a:accent2>
      <a:accent3>
        <a:srgbClr val="999966"/>
      </a:accent3>
      <a:accent4>
        <a:srgbClr val="808080"/>
      </a:accent4>
      <a:accent5>
        <a:srgbClr val="999999"/>
      </a:accent5>
      <a:accent6>
        <a:srgbClr val="99993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73E83-53B7-435A-A102-D563138B1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template-word</Template>
  <TotalTime>781</TotalTime>
  <Pages>1</Pages>
  <Words>33654</Words>
  <Characters>191834</Characters>
  <Application>Microsoft Office Word</Application>
  <DocSecurity>0</DocSecurity>
  <Lines>1598</Lines>
  <Paragraphs>450</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225038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Windows User</cp:lastModifiedBy>
  <cp:revision>35</cp:revision>
  <cp:lastPrinted>2018-11-13T14:00:00Z</cp:lastPrinted>
  <dcterms:created xsi:type="dcterms:W3CDTF">2013-10-24T18:18:00Z</dcterms:created>
  <dcterms:modified xsi:type="dcterms:W3CDTF">2018-11-13T14:02:00Z</dcterms:modified>
</cp:coreProperties>
</file>