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7FB4" w14:textId="77777777" w:rsidR="00CC10A1" w:rsidRPr="00487795" w:rsidRDefault="00CC10A1" w:rsidP="00487795">
      <w:pPr>
        <w:spacing w:line="240" w:lineRule="auto"/>
        <w:jc w:val="center"/>
        <w:rPr>
          <w:rFonts w:cs="Times New Roman"/>
        </w:rPr>
      </w:pPr>
      <w:bookmarkStart w:id="0" w:name="_GoBack"/>
      <w:bookmarkEnd w:id="0"/>
      <w:r w:rsidRPr="00487795">
        <w:rPr>
          <w:rFonts w:cs="Times New Roman"/>
        </w:rPr>
        <w:t>MATRIC</w:t>
      </w:r>
      <w:r w:rsidR="00B31C05" w:rsidRPr="00487795">
        <w:rPr>
          <w:rFonts w:cs="Times New Roman"/>
        </w:rPr>
        <w:t>Ë</w:t>
      </w:r>
      <w:r w:rsidRPr="00487795">
        <w:rPr>
          <w:rFonts w:cs="Times New Roman"/>
        </w:rPr>
        <w:t xml:space="preserve"> P</w:t>
      </w:r>
      <w:r w:rsidR="00B31C05" w:rsidRPr="00487795">
        <w:rPr>
          <w:rFonts w:cs="Times New Roman"/>
        </w:rPr>
        <w:t>Ë</w:t>
      </w:r>
      <w:r w:rsidRPr="00487795">
        <w:rPr>
          <w:rFonts w:cs="Times New Roman"/>
        </w:rPr>
        <w:t>RMBLEDH</w:t>
      </w:r>
      <w:r w:rsidR="00B31C05" w:rsidRPr="00487795">
        <w:rPr>
          <w:rFonts w:cs="Times New Roman"/>
        </w:rPr>
        <w:t>Ë</w:t>
      </w:r>
      <w:r w:rsidRPr="00487795">
        <w:rPr>
          <w:rFonts w:cs="Times New Roman"/>
        </w:rPr>
        <w:t>SE</w:t>
      </w:r>
      <w:r w:rsidR="009B77D1" w:rsidRPr="00487795">
        <w:rPr>
          <w:rStyle w:val="FootnoteReference"/>
          <w:rFonts w:cs="Times New Roman"/>
        </w:rPr>
        <w:footnoteReference w:id="1"/>
      </w:r>
      <w:r w:rsidRPr="00487795">
        <w:rPr>
          <w:rFonts w:cs="Times New Roman"/>
        </w:rPr>
        <w:t xml:space="preserve"> </w:t>
      </w:r>
    </w:p>
    <w:p w14:paraId="7180FD7F" w14:textId="77777777" w:rsidR="00CC10A1" w:rsidRPr="00487795" w:rsidRDefault="00CC10A1" w:rsidP="00487795">
      <w:pPr>
        <w:spacing w:line="240" w:lineRule="auto"/>
        <w:jc w:val="center"/>
        <w:rPr>
          <w:rFonts w:cs="Times New Roman"/>
        </w:rPr>
      </w:pPr>
      <w:r w:rsidRPr="00487795">
        <w:rPr>
          <w:rFonts w:cs="Times New Roman"/>
        </w:rPr>
        <w:t>P</w:t>
      </w:r>
      <w:r w:rsidR="00B31C05" w:rsidRPr="00487795">
        <w:rPr>
          <w:rFonts w:cs="Times New Roman"/>
        </w:rPr>
        <w:t>Ë</w:t>
      </w:r>
      <w:r w:rsidRPr="00487795">
        <w:rPr>
          <w:rFonts w:cs="Times New Roman"/>
        </w:rPr>
        <w:t>R TRAJNIMIN ME TEM</w:t>
      </w:r>
      <w:r w:rsidR="00B31C05" w:rsidRPr="00487795">
        <w:rPr>
          <w:rFonts w:cs="Times New Roman"/>
        </w:rPr>
        <w:t>Ë</w:t>
      </w:r>
      <w:r w:rsidRPr="00487795">
        <w:rPr>
          <w:rFonts w:cs="Times New Roman"/>
        </w:rPr>
        <w:t xml:space="preserve">: </w:t>
      </w:r>
    </w:p>
    <w:p w14:paraId="7488DB8B" w14:textId="727CC086" w:rsidR="008149E7" w:rsidRPr="00487795" w:rsidRDefault="00CC10A1" w:rsidP="00487795">
      <w:pPr>
        <w:shd w:val="clear" w:color="auto" w:fill="FFFFFF"/>
        <w:spacing w:line="240" w:lineRule="auto"/>
        <w:rPr>
          <w:rFonts w:cs="Times New Roman"/>
          <w:b/>
        </w:rPr>
      </w:pPr>
      <w:r w:rsidRPr="00487795">
        <w:rPr>
          <w:rFonts w:cs="Times New Roman"/>
          <w:b/>
        </w:rPr>
        <w:t>“</w:t>
      </w:r>
      <w:r w:rsidR="008149E7" w:rsidRPr="00487795">
        <w:rPr>
          <w:rFonts w:cs="Times New Roman"/>
          <w:b/>
          <w:bCs/>
        </w:rPr>
        <w:t>Zbatimi i kuadrit ligjor për të mbështetur vajzat në rrezik dhe për të parandaluar</w:t>
      </w:r>
      <w:r w:rsidR="00487795">
        <w:rPr>
          <w:rFonts w:cs="Times New Roman"/>
          <w:b/>
          <w:bCs/>
        </w:rPr>
        <w:t xml:space="preserve"> martesat e hershme të fëmijëve</w:t>
      </w:r>
      <w:r w:rsidR="008149E7" w:rsidRPr="00487795">
        <w:rPr>
          <w:rFonts w:cs="Times New Roman"/>
          <w:b/>
          <w:bCs/>
        </w:rPr>
        <w:t>.</w:t>
      </w:r>
      <w:r w:rsidR="008149E7" w:rsidRPr="00487795">
        <w:rPr>
          <w:rFonts w:cs="Times New Roman"/>
          <w:b/>
          <w:bCs/>
          <w:i/>
          <w:iCs/>
          <w:u w:val="single"/>
          <w:lang w:val="en-AU"/>
        </w:rPr>
        <w:t xml:space="preserve"> </w:t>
      </w:r>
      <w:r w:rsidR="008149E7" w:rsidRPr="00487795">
        <w:rPr>
          <w:rFonts w:cs="Times New Roman"/>
          <w:b/>
        </w:rPr>
        <w:t xml:space="preserve"> </w:t>
      </w:r>
      <w:r w:rsidR="008149E7" w:rsidRPr="00487795">
        <w:rPr>
          <w:rFonts w:cs="Times New Roman"/>
          <w:b/>
          <w:bCs/>
        </w:rPr>
        <w:t>Martesat nën moshë dhe roli i sistemit t</w:t>
      </w:r>
      <w:r w:rsidR="00487795" w:rsidRPr="00487795">
        <w:rPr>
          <w:rFonts w:cs="Times New Roman"/>
          <w:b/>
          <w:bCs/>
        </w:rPr>
        <w:t>ë</w:t>
      </w:r>
      <w:r w:rsidR="008149E7" w:rsidRPr="00487795">
        <w:rPr>
          <w:rFonts w:cs="Times New Roman"/>
          <w:b/>
          <w:bCs/>
        </w:rPr>
        <w:t xml:space="preserve"> drejt</w:t>
      </w:r>
      <w:r w:rsidR="00487795" w:rsidRPr="00487795">
        <w:rPr>
          <w:rFonts w:cs="Times New Roman"/>
          <w:b/>
          <w:bCs/>
        </w:rPr>
        <w:t>ë</w:t>
      </w:r>
      <w:r w:rsidR="008149E7" w:rsidRPr="00487795">
        <w:rPr>
          <w:rFonts w:cs="Times New Roman"/>
          <w:b/>
          <w:bCs/>
        </w:rPr>
        <w:t>sis</w:t>
      </w:r>
      <w:r w:rsidR="00487795" w:rsidRPr="00487795">
        <w:rPr>
          <w:rFonts w:cs="Times New Roman"/>
          <w:b/>
          <w:bCs/>
        </w:rPr>
        <w:t>ë</w:t>
      </w:r>
      <w:r w:rsidR="00487795">
        <w:rPr>
          <w:rFonts w:cs="Times New Roman"/>
          <w:b/>
          <w:bCs/>
        </w:rPr>
        <w:t>”</w:t>
      </w:r>
    </w:p>
    <w:p w14:paraId="4F928FAB" w14:textId="77777777" w:rsidR="00B31C05" w:rsidRPr="00487795" w:rsidRDefault="005E6BE7" w:rsidP="00487795">
      <w:pPr>
        <w:spacing w:line="240" w:lineRule="auto"/>
        <w:jc w:val="center"/>
        <w:rPr>
          <w:rFonts w:cs="Times New Roman"/>
        </w:rPr>
      </w:pPr>
      <w:r w:rsidRPr="00487795">
        <w:rPr>
          <w:rFonts w:cs="Times New Roman"/>
        </w:rPr>
        <w:t>i cili do të zhvillohet në datë</w:t>
      </w:r>
    </w:p>
    <w:p w14:paraId="449E665E" w14:textId="57B82A0B" w:rsidR="005E6BE7" w:rsidRPr="00487795" w:rsidRDefault="008149E7" w:rsidP="00487795">
      <w:pPr>
        <w:spacing w:line="240" w:lineRule="auto"/>
        <w:jc w:val="center"/>
        <w:rPr>
          <w:rFonts w:cs="Times New Roman"/>
        </w:rPr>
      </w:pPr>
      <w:r w:rsidRPr="00487795">
        <w:rPr>
          <w:rFonts w:cs="Times New Roman"/>
        </w:rPr>
        <w:t>28 Maj</w:t>
      </w:r>
      <w:r w:rsidR="007A1657" w:rsidRPr="00487795">
        <w:rPr>
          <w:rFonts w:cs="Times New Roman"/>
        </w:rPr>
        <w:t xml:space="preserve"> </w:t>
      </w:r>
      <w:r w:rsidR="003E2D72" w:rsidRPr="00487795">
        <w:rPr>
          <w:rFonts w:cs="Times New Roman"/>
        </w:rPr>
        <w:t>202</w:t>
      </w:r>
      <w:r w:rsidR="00817E9C" w:rsidRPr="00487795">
        <w:rPr>
          <w:rFonts w:cs="Times New Roman"/>
        </w:rPr>
        <w:t>4</w:t>
      </w:r>
    </w:p>
    <w:tbl>
      <w:tblPr>
        <w:tblStyle w:val="TableGrid"/>
        <w:tblW w:w="9445" w:type="dxa"/>
        <w:tblLook w:val="04A0" w:firstRow="1" w:lastRow="0" w:firstColumn="1" w:lastColumn="0" w:noHBand="0" w:noVBand="1"/>
      </w:tblPr>
      <w:tblGrid>
        <w:gridCol w:w="1835"/>
        <w:gridCol w:w="1268"/>
        <w:gridCol w:w="1224"/>
        <w:gridCol w:w="5374"/>
      </w:tblGrid>
      <w:tr w:rsidR="0065639C" w:rsidRPr="00487795" w14:paraId="5E187CFB" w14:textId="77777777" w:rsidTr="00323826">
        <w:trPr>
          <w:trHeight w:val="980"/>
        </w:trPr>
        <w:tc>
          <w:tcPr>
            <w:tcW w:w="2242" w:type="dxa"/>
            <w:vMerge w:val="restart"/>
            <w:shd w:val="clear" w:color="auto" w:fill="9999FF"/>
          </w:tcPr>
          <w:p w14:paraId="0BC9F66C" w14:textId="77777777" w:rsidR="0065639C" w:rsidRPr="00487795" w:rsidRDefault="0065639C" w:rsidP="00487795">
            <w:pPr>
              <w:jc w:val="center"/>
              <w:rPr>
                <w:rFonts w:cs="Times New Roman"/>
              </w:rPr>
            </w:pPr>
            <w:r w:rsidRPr="00487795">
              <w:rPr>
                <w:rFonts w:cs="Times New Roman"/>
              </w:rPr>
              <w:t>OBJEKTIVI KRYESOR I TRAJNIMIT</w:t>
            </w:r>
            <w:r w:rsidRPr="00487795">
              <w:rPr>
                <w:rStyle w:val="FootnoteReference"/>
                <w:rFonts w:cs="Times New Roman"/>
              </w:rPr>
              <w:footnoteReference w:id="2"/>
            </w:r>
          </w:p>
        </w:tc>
        <w:tc>
          <w:tcPr>
            <w:tcW w:w="2906" w:type="dxa"/>
            <w:gridSpan w:val="2"/>
            <w:vMerge w:val="restart"/>
            <w:shd w:val="clear" w:color="auto" w:fill="auto"/>
          </w:tcPr>
          <w:p w14:paraId="5DFF51A4" w14:textId="77777777" w:rsidR="004F73C2" w:rsidRPr="00487795" w:rsidRDefault="0065639C" w:rsidP="00487795">
            <w:pPr>
              <w:jc w:val="center"/>
              <w:rPr>
                <w:rFonts w:cs="Times New Roman"/>
              </w:rPr>
            </w:pPr>
            <w:r w:rsidRPr="00487795">
              <w:rPr>
                <w:rFonts w:cs="Times New Roman"/>
              </w:rPr>
              <w:t>I përbashkët</w:t>
            </w:r>
          </w:p>
          <w:p w14:paraId="26EBFA90" w14:textId="77777777" w:rsidR="0065639C" w:rsidRPr="00487795" w:rsidRDefault="0065639C" w:rsidP="00487795">
            <w:pPr>
              <w:tabs>
                <w:tab w:val="left" w:pos="445"/>
              </w:tabs>
              <w:rPr>
                <w:rFonts w:cs="Times New Roman"/>
              </w:rPr>
            </w:pPr>
          </w:p>
        </w:tc>
        <w:tc>
          <w:tcPr>
            <w:tcW w:w="4297" w:type="dxa"/>
            <w:vMerge w:val="restart"/>
            <w:shd w:val="clear" w:color="auto" w:fill="auto"/>
          </w:tcPr>
          <w:p w14:paraId="65B5CDFF" w14:textId="50FA9940" w:rsidR="008149E7" w:rsidRPr="00487795" w:rsidRDefault="00F313FE" w:rsidP="00487795">
            <w:pPr>
              <w:rPr>
                <w:rFonts w:cs="Times New Roman"/>
              </w:rPr>
            </w:pPr>
            <w:r w:rsidRPr="00487795">
              <w:rPr>
                <w:rFonts w:cs="Times New Roman"/>
              </w:rPr>
              <w:t xml:space="preserve">Ky trajnim synon të njohë pjesëmarrësit </w:t>
            </w:r>
            <w:r w:rsidR="00974004" w:rsidRPr="00487795">
              <w:rPr>
                <w:rFonts w:cs="Times New Roman"/>
              </w:rPr>
              <w:t xml:space="preserve">me </w:t>
            </w:r>
            <w:r w:rsidR="008149E7" w:rsidRPr="00487795">
              <w:rPr>
                <w:rFonts w:cs="Times New Roman"/>
              </w:rPr>
              <w:t>r</w:t>
            </w:r>
            <w:r w:rsidR="00487795">
              <w:rPr>
                <w:rFonts w:cs="Times New Roman"/>
              </w:rPr>
              <w:t>ë</w:t>
            </w:r>
            <w:r w:rsidR="008149E7" w:rsidRPr="00487795">
              <w:rPr>
                <w:rFonts w:cs="Times New Roman"/>
              </w:rPr>
              <w:t>nd</w:t>
            </w:r>
            <w:r w:rsidR="00487795">
              <w:rPr>
                <w:rFonts w:cs="Times New Roman"/>
              </w:rPr>
              <w:t>ë</w:t>
            </w:r>
            <w:r w:rsidR="008149E7" w:rsidRPr="00487795">
              <w:rPr>
                <w:rFonts w:cs="Times New Roman"/>
              </w:rPr>
              <w:t>sin</w:t>
            </w:r>
            <w:r w:rsidR="00487795">
              <w:rPr>
                <w:rFonts w:cs="Times New Roman"/>
              </w:rPr>
              <w:t>ë</w:t>
            </w:r>
            <w:r w:rsidR="008149E7" w:rsidRPr="00487795">
              <w:rPr>
                <w:rFonts w:cs="Times New Roman"/>
              </w:rPr>
              <w:t xml:space="preserve"> q</w:t>
            </w:r>
            <w:r w:rsidR="00487795">
              <w:rPr>
                <w:rFonts w:cs="Times New Roman"/>
              </w:rPr>
              <w:t>ë</w:t>
            </w:r>
            <w:r w:rsidR="008149E7" w:rsidRPr="00487795">
              <w:rPr>
                <w:rFonts w:cs="Times New Roman"/>
              </w:rPr>
              <w:t xml:space="preserve"> ka analiza dhe vendimmarrja e mb</w:t>
            </w:r>
            <w:r w:rsidR="00487795">
              <w:rPr>
                <w:rFonts w:cs="Times New Roman"/>
              </w:rPr>
              <w:t>ë</w:t>
            </w:r>
            <w:r w:rsidR="008149E7" w:rsidRPr="00487795">
              <w:rPr>
                <w:rFonts w:cs="Times New Roman"/>
              </w:rPr>
              <w:t>shtetur n</w:t>
            </w:r>
            <w:r w:rsidR="00487795">
              <w:rPr>
                <w:rFonts w:cs="Times New Roman"/>
              </w:rPr>
              <w:t>ë</w:t>
            </w:r>
            <w:r w:rsidR="008149E7" w:rsidRPr="00487795">
              <w:rPr>
                <w:rFonts w:cs="Times New Roman"/>
              </w:rPr>
              <w:t xml:space="preserve"> nj</w:t>
            </w:r>
            <w:r w:rsidR="00487795">
              <w:rPr>
                <w:rFonts w:cs="Times New Roman"/>
              </w:rPr>
              <w:t>ë</w:t>
            </w:r>
            <w:r w:rsidR="008149E7" w:rsidRPr="00487795">
              <w:rPr>
                <w:rFonts w:cs="Times New Roman"/>
              </w:rPr>
              <w:t xml:space="preserve"> proces ligjor dhe t</w:t>
            </w:r>
            <w:r w:rsidR="00487795">
              <w:rPr>
                <w:rFonts w:cs="Times New Roman"/>
              </w:rPr>
              <w:t>ë</w:t>
            </w:r>
            <w:r w:rsidR="008149E7" w:rsidRPr="00487795">
              <w:rPr>
                <w:rFonts w:cs="Times New Roman"/>
              </w:rPr>
              <w:t xml:space="preserve"> p</w:t>
            </w:r>
            <w:r w:rsidR="00487795">
              <w:rPr>
                <w:rFonts w:cs="Times New Roman"/>
              </w:rPr>
              <w:t>ë</w:t>
            </w:r>
            <w:r w:rsidR="008149E7" w:rsidRPr="00487795">
              <w:rPr>
                <w:rFonts w:cs="Times New Roman"/>
              </w:rPr>
              <w:t>rgjegjsh</w:t>
            </w:r>
            <w:r w:rsidR="00487795">
              <w:rPr>
                <w:rFonts w:cs="Times New Roman"/>
              </w:rPr>
              <w:t>ë</w:t>
            </w:r>
            <w:r w:rsidR="008149E7" w:rsidRPr="00487795">
              <w:rPr>
                <w:rFonts w:cs="Times New Roman"/>
              </w:rPr>
              <w:t>m mbi dhun</w:t>
            </w:r>
            <w:r w:rsidR="00487795">
              <w:rPr>
                <w:rFonts w:cs="Times New Roman"/>
              </w:rPr>
              <w:t>ë</w:t>
            </w:r>
            <w:r w:rsidR="008149E7" w:rsidRPr="00487795">
              <w:rPr>
                <w:rFonts w:cs="Times New Roman"/>
              </w:rPr>
              <w:t>n me baz</w:t>
            </w:r>
            <w:r w:rsidR="00487795">
              <w:rPr>
                <w:rFonts w:cs="Times New Roman"/>
              </w:rPr>
              <w:t>ë</w:t>
            </w:r>
            <w:r w:rsidR="008149E7" w:rsidRPr="00487795">
              <w:rPr>
                <w:rFonts w:cs="Times New Roman"/>
              </w:rPr>
              <w:t xml:space="preserve"> gjinore. </w:t>
            </w:r>
            <w:r w:rsidR="00974004" w:rsidRPr="00487795">
              <w:rPr>
                <w:rFonts w:cs="Times New Roman"/>
              </w:rPr>
              <w:t xml:space="preserve"> </w:t>
            </w:r>
          </w:p>
          <w:p w14:paraId="45F83510" w14:textId="13C696F0" w:rsidR="0065639C" w:rsidRPr="00487795" w:rsidRDefault="008149E7" w:rsidP="00487795">
            <w:pPr>
              <w:rPr>
                <w:rFonts w:cs="Times New Roman"/>
              </w:rPr>
            </w:pPr>
            <w:r w:rsidRPr="00487795">
              <w:rPr>
                <w:rFonts w:cs="Times New Roman"/>
              </w:rPr>
              <w:t xml:space="preserve">Ky trajnim synon </w:t>
            </w:r>
            <w:r w:rsidR="00F313FE" w:rsidRPr="00487795">
              <w:rPr>
                <w:rFonts w:cs="Times New Roman"/>
                <w:lang w:val="sq-AL"/>
              </w:rPr>
              <w:t xml:space="preserve">të ofrojë disa mjete dhe strategji për identifikimin e </w:t>
            </w:r>
            <w:r w:rsidRPr="00487795">
              <w:rPr>
                <w:rFonts w:cs="Times New Roman"/>
                <w:lang w:val="sq-AL"/>
              </w:rPr>
              <w:t>rreziqeve t</w:t>
            </w:r>
            <w:r w:rsidR="00487795">
              <w:rPr>
                <w:rFonts w:cs="Times New Roman"/>
                <w:lang w:val="sq-AL"/>
              </w:rPr>
              <w:t>ë</w:t>
            </w:r>
            <w:r w:rsidRPr="00487795">
              <w:rPr>
                <w:rFonts w:cs="Times New Roman"/>
                <w:lang w:val="sq-AL"/>
              </w:rPr>
              <w:t xml:space="preserve"> DHBGJ </w:t>
            </w:r>
            <w:r w:rsidR="00F313FE" w:rsidRPr="00487795">
              <w:rPr>
                <w:rFonts w:cs="Times New Roman"/>
                <w:lang w:val="sq-AL"/>
              </w:rPr>
              <w:t xml:space="preserve"> dhe për parandalimin e ndikimit</w:t>
            </w:r>
            <w:r w:rsidRPr="00487795">
              <w:rPr>
                <w:rFonts w:cs="Times New Roman"/>
                <w:lang w:val="sq-AL"/>
              </w:rPr>
              <w:t xml:space="preserve"> t</w:t>
            </w:r>
            <w:r w:rsidR="00487795">
              <w:rPr>
                <w:rFonts w:cs="Times New Roman"/>
                <w:lang w:val="sq-AL"/>
              </w:rPr>
              <w:t>ë</w:t>
            </w:r>
            <w:r w:rsidRPr="00487795">
              <w:rPr>
                <w:rFonts w:cs="Times New Roman"/>
                <w:lang w:val="sq-AL"/>
              </w:rPr>
              <w:t xml:space="preserve"> steriotipeve gjinore</w:t>
            </w:r>
            <w:r w:rsidR="00F313FE" w:rsidRPr="00487795">
              <w:rPr>
                <w:rFonts w:cs="Times New Roman"/>
                <w:lang w:val="sq-AL"/>
              </w:rPr>
              <w:t xml:space="preserve"> në vendimmarrjet gjyqësore, duke nxitur vetëreflektimin dhe vetëdijen e magjistratit.</w:t>
            </w:r>
            <w:r w:rsidR="00F313FE" w:rsidRPr="00487795">
              <w:rPr>
                <w:rFonts w:cs="Times New Roman"/>
              </w:rPr>
              <w:t xml:space="preserve"> </w:t>
            </w:r>
          </w:p>
        </w:tc>
      </w:tr>
      <w:tr w:rsidR="0065639C" w:rsidRPr="00487795" w14:paraId="19AF4F09" w14:textId="77777777" w:rsidTr="00323826">
        <w:trPr>
          <w:trHeight w:val="530"/>
        </w:trPr>
        <w:tc>
          <w:tcPr>
            <w:tcW w:w="2242" w:type="dxa"/>
            <w:vMerge/>
          </w:tcPr>
          <w:p w14:paraId="6C7F7EAD" w14:textId="77777777" w:rsidR="0065639C" w:rsidRPr="00487795" w:rsidRDefault="0065639C" w:rsidP="00487795">
            <w:pPr>
              <w:jc w:val="center"/>
              <w:rPr>
                <w:rFonts w:cs="Times New Roman"/>
              </w:rPr>
            </w:pPr>
          </w:p>
        </w:tc>
        <w:tc>
          <w:tcPr>
            <w:tcW w:w="2906" w:type="dxa"/>
            <w:gridSpan w:val="2"/>
            <w:vMerge/>
            <w:shd w:val="clear" w:color="auto" w:fill="auto"/>
          </w:tcPr>
          <w:p w14:paraId="722B965A" w14:textId="77777777" w:rsidR="0065639C" w:rsidRPr="00487795" w:rsidRDefault="0065639C" w:rsidP="00487795">
            <w:pPr>
              <w:jc w:val="center"/>
              <w:rPr>
                <w:rFonts w:cs="Times New Roman"/>
              </w:rPr>
            </w:pPr>
          </w:p>
        </w:tc>
        <w:tc>
          <w:tcPr>
            <w:tcW w:w="4297" w:type="dxa"/>
            <w:vMerge/>
            <w:shd w:val="clear" w:color="auto" w:fill="auto"/>
          </w:tcPr>
          <w:p w14:paraId="0D33DCEE" w14:textId="77777777" w:rsidR="0065639C" w:rsidRPr="00487795" w:rsidRDefault="0065639C" w:rsidP="00487795">
            <w:pPr>
              <w:jc w:val="center"/>
              <w:rPr>
                <w:rFonts w:cs="Times New Roman"/>
              </w:rPr>
            </w:pPr>
          </w:p>
        </w:tc>
      </w:tr>
      <w:tr w:rsidR="0065639C" w:rsidRPr="00487795" w14:paraId="5F65DF4A" w14:textId="77777777" w:rsidTr="00323826">
        <w:trPr>
          <w:trHeight w:val="890"/>
        </w:trPr>
        <w:tc>
          <w:tcPr>
            <w:tcW w:w="2242" w:type="dxa"/>
            <w:vMerge w:val="restart"/>
            <w:shd w:val="clear" w:color="auto" w:fill="9999FF"/>
          </w:tcPr>
          <w:p w14:paraId="7577C510" w14:textId="77777777" w:rsidR="0065639C" w:rsidRPr="00487795" w:rsidRDefault="0065639C" w:rsidP="00487795">
            <w:pPr>
              <w:jc w:val="center"/>
              <w:rPr>
                <w:rFonts w:cs="Times New Roman"/>
              </w:rPr>
            </w:pPr>
            <w:r w:rsidRPr="00487795">
              <w:rPr>
                <w:rFonts w:cs="Times New Roman"/>
              </w:rPr>
              <w:t>ÇËSHTJET QË DO TË TRAJTOHEN</w:t>
            </w:r>
            <w:r w:rsidRPr="00487795">
              <w:rPr>
                <w:rStyle w:val="FootnoteReference"/>
                <w:rFonts w:cs="Times New Roman"/>
              </w:rPr>
              <w:footnoteReference w:id="3"/>
            </w:r>
          </w:p>
        </w:tc>
        <w:tc>
          <w:tcPr>
            <w:tcW w:w="2906" w:type="dxa"/>
            <w:gridSpan w:val="2"/>
            <w:shd w:val="clear" w:color="auto" w:fill="CCCCFF"/>
          </w:tcPr>
          <w:p w14:paraId="0ECFEAE1" w14:textId="77777777" w:rsidR="0065639C" w:rsidRPr="00487795" w:rsidRDefault="0065639C" w:rsidP="00487795">
            <w:pPr>
              <w:jc w:val="center"/>
              <w:rPr>
                <w:rFonts w:cs="Times New Roman"/>
              </w:rPr>
            </w:pPr>
            <w:r w:rsidRPr="00487795">
              <w:rPr>
                <w:rFonts w:cs="Times New Roman"/>
              </w:rPr>
              <w:t>Ek</w:t>
            </w:r>
            <w:r w:rsidR="000F441C" w:rsidRPr="00487795">
              <w:rPr>
                <w:rFonts w:cs="Times New Roman"/>
              </w:rPr>
              <w:t>s</w:t>
            </w:r>
            <w:r w:rsidRPr="00487795">
              <w:rPr>
                <w:rFonts w:cs="Times New Roman"/>
              </w:rPr>
              <w:t>pert</w:t>
            </w:r>
            <w:r w:rsidR="000B5737" w:rsidRPr="00487795">
              <w:rPr>
                <w:rFonts w:cs="Times New Roman"/>
              </w:rPr>
              <w:t>e</w:t>
            </w:r>
            <w:r w:rsidRPr="00487795">
              <w:rPr>
                <w:rFonts w:cs="Times New Roman"/>
              </w:rPr>
              <w:t xml:space="preserve"> </w:t>
            </w:r>
          </w:p>
          <w:p w14:paraId="59727B26" w14:textId="77777777" w:rsidR="003E2D72" w:rsidRPr="00487795" w:rsidRDefault="002E7B71" w:rsidP="00487795">
            <w:pPr>
              <w:jc w:val="center"/>
              <w:rPr>
                <w:rFonts w:cs="Times New Roman"/>
              </w:rPr>
            </w:pPr>
            <w:r w:rsidRPr="00487795">
              <w:rPr>
                <w:rFonts w:eastAsia="Times New Roman" w:cs="Times New Roman"/>
                <w:u w:val="wave"/>
                <w:lang w:val="sq-AL" w:eastAsia="en-GB"/>
              </w:rPr>
              <w:t>Arta Mandro</w:t>
            </w:r>
          </w:p>
        </w:tc>
        <w:tc>
          <w:tcPr>
            <w:tcW w:w="4297" w:type="dxa"/>
            <w:shd w:val="clear" w:color="auto" w:fill="CCCCFF"/>
          </w:tcPr>
          <w:p w14:paraId="47DDD953" w14:textId="0E0EC213" w:rsidR="008149E7" w:rsidRPr="00487795" w:rsidRDefault="008149E7" w:rsidP="00487795">
            <w:pPr>
              <w:rPr>
                <w:rFonts w:cs="Times New Roman"/>
              </w:rPr>
            </w:pPr>
            <w:r w:rsidRPr="00487795">
              <w:rPr>
                <w:rFonts w:cs="Times New Roman"/>
              </w:rPr>
              <w:t>Martesa dhe Bashkëjetesa (ana e errët)– pritshmëritë dhe realiteti.</w:t>
            </w:r>
          </w:p>
          <w:p w14:paraId="012E119A" w14:textId="6168CB6D" w:rsidR="0065639C" w:rsidRPr="00487795" w:rsidRDefault="008149E7" w:rsidP="00487795">
            <w:pPr>
              <w:rPr>
                <w:rFonts w:cs="Times New Roman"/>
              </w:rPr>
            </w:pPr>
            <w:r w:rsidRPr="00487795">
              <w:rPr>
                <w:rFonts w:cs="Times New Roman"/>
              </w:rPr>
              <w:t>Sfidat e gjykatës në vlerësimin e shkaqeve me rëndësi dhe lejimin e martesave nën moshë. Kujdesi ndaj interesit më të të lartë të fëmijës dhe vecoritë e kontekstit social, zakonor dhe rajonal. Raste për diskutim</w:t>
            </w:r>
          </w:p>
        </w:tc>
      </w:tr>
      <w:tr w:rsidR="0065639C" w:rsidRPr="00487795" w14:paraId="23A957E9" w14:textId="77777777" w:rsidTr="00323826">
        <w:trPr>
          <w:trHeight w:val="980"/>
        </w:trPr>
        <w:tc>
          <w:tcPr>
            <w:tcW w:w="2242" w:type="dxa"/>
            <w:vMerge/>
            <w:shd w:val="clear" w:color="auto" w:fill="9999FF"/>
          </w:tcPr>
          <w:p w14:paraId="62340960" w14:textId="77777777" w:rsidR="0065639C" w:rsidRPr="00487795" w:rsidRDefault="0065639C" w:rsidP="00487795">
            <w:pPr>
              <w:jc w:val="center"/>
              <w:rPr>
                <w:rFonts w:cs="Times New Roman"/>
              </w:rPr>
            </w:pPr>
          </w:p>
        </w:tc>
        <w:tc>
          <w:tcPr>
            <w:tcW w:w="2906" w:type="dxa"/>
            <w:gridSpan w:val="2"/>
            <w:shd w:val="clear" w:color="auto" w:fill="FFF2CC" w:themeFill="accent4" w:themeFillTint="33"/>
          </w:tcPr>
          <w:p w14:paraId="015897F9" w14:textId="43BF67A9" w:rsidR="0065639C" w:rsidRPr="00487795" w:rsidRDefault="008149E7" w:rsidP="00487795">
            <w:pPr>
              <w:jc w:val="center"/>
              <w:rPr>
                <w:rFonts w:cs="Times New Roman"/>
              </w:rPr>
            </w:pPr>
            <w:r w:rsidRPr="00487795">
              <w:rPr>
                <w:rFonts w:cs="Times New Roman"/>
              </w:rPr>
              <w:t>Leht</w:t>
            </w:r>
            <w:r w:rsidR="00487795">
              <w:rPr>
                <w:rFonts w:cs="Times New Roman"/>
              </w:rPr>
              <w:t>ë</w:t>
            </w:r>
            <w:r w:rsidRPr="00487795">
              <w:rPr>
                <w:rFonts w:cs="Times New Roman"/>
              </w:rPr>
              <w:t>sues</w:t>
            </w:r>
          </w:p>
          <w:p w14:paraId="3ECAD4BE" w14:textId="6B64721B" w:rsidR="003E2D72" w:rsidRPr="00487795" w:rsidRDefault="008149E7" w:rsidP="00487795">
            <w:pPr>
              <w:jc w:val="center"/>
              <w:rPr>
                <w:rFonts w:cs="Times New Roman"/>
              </w:rPr>
            </w:pPr>
            <w:r w:rsidRPr="00487795">
              <w:rPr>
                <w:rFonts w:eastAsia="Times New Roman" w:cs="Times New Roman"/>
                <w:lang w:val="sq-AL" w:eastAsia="en-GB"/>
              </w:rPr>
              <w:t>Marta Bej</w:t>
            </w:r>
          </w:p>
        </w:tc>
        <w:tc>
          <w:tcPr>
            <w:tcW w:w="4297" w:type="dxa"/>
            <w:shd w:val="clear" w:color="auto" w:fill="FFF2CC" w:themeFill="accent4" w:themeFillTint="33"/>
          </w:tcPr>
          <w:p w14:paraId="42787EE8" w14:textId="6A176C81" w:rsidR="0065639C" w:rsidRPr="00487795" w:rsidRDefault="008149E7" w:rsidP="00487795">
            <w:pPr>
              <w:rPr>
                <w:rFonts w:cs="Times New Roman"/>
              </w:rPr>
            </w:pPr>
            <w:r w:rsidRPr="00487795">
              <w:rPr>
                <w:rFonts w:cs="Times New Roman"/>
              </w:rPr>
              <w:t>Roli i psikologut ne vlerësimin e riskut të martesës nën moshë dhe DHBGJ. Ndërveprimi me gjykatën. Problematika ligjore dhe praktike të martesave nën moshë.</w:t>
            </w:r>
          </w:p>
        </w:tc>
      </w:tr>
      <w:tr w:rsidR="0065639C" w:rsidRPr="00487795" w14:paraId="19ACAFD4" w14:textId="77777777" w:rsidTr="00323826">
        <w:trPr>
          <w:trHeight w:val="1070"/>
        </w:trPr>
        <w:tc>
          <w:tcPr>
            <w:tcW w:w="2242" w:type="dxa"/>
            <w:vMerge/>
            <w:shd w:val="clear" w:color="auto" w:fill="9999FF"/>
          </w:tcPr>
          <w:p w14:paraId="329E4004" w14:textId="77777777" w:rsidR="0065639C" w:rsidRPr="00487795" w:rsidRDefault="0065639C" w:rsidP="00487795">
            <w:pPr>
              <w:jc w:val="center"/>
              <w:rPr>
                <w:rFonts w:cs="Times New Roman"/>
              </w:rPr>
            </w:pPr>
          </w:p>
        </w:tc>
        <w:tc>
          <w:tcPr>
            <w:tcW w:w="2906" w:type="dxa"/>
            <w:gridSpan w:val="2"/>
            <w:shd w:val="clear" w:color="auto" w:fill="E2EFD9" w:themeFill="accent6" w:themeFillTint="33"/>
          </w:tcPr>
          <w:p w14:paraId="7C0AA008" w14:textId="77777777" w:rsidR="003E2D72" w:rsidRPr="00487795" w:rsidRDefault="0065639C" w:rsidP="00487795">
            <w:pPr>
              <w:jc w:val="center"/>
              <w:rPr>
                <w:rFonts w:cs="Times New Roman"/>
                <w:lang w:eastAsia="ja-JP"/>
              </w:rPr>
            </w:pPr>
            <w:r w:rsidRPr="00487795">
              <w:rPr>
                <w:rFonts w:cs="Times New Roman"/>
              </w:rPr>
              <w:t>Leht</w:t>
            </w:r>
            <w:r w:rsidRPr="00487795">
              <w:rPr>
                <w:rFonts w:cs="Times New Roman"/>
                <w:lang w:eastAsia="ja-JP"/>
              </w:rPr>
              <w:t>ësues</w:t>
            </w:r>
            <w:r w:rsidR="000B5737" w:rsidRPr="00487795">
              <w:rPr>
                <w:rFonts w:cs="Times New Roman"/>
                <w:lang w:eastAsia="ja-JP"/>
              </w:rPr>
              <w:t>e</w:t>
            </w:r>
          </w:p>
          <w:p w14:paraId="3EAA5728" w14:textId="196D2D2C" w:rsidR="0065639C" w:rsidRPr="00487795" w:rsidRDefault="008149E7" w:rsidP="00487795">
            <w:pPr>
              <w:jc w:val="center"/>
              <w:rPr>
                <w:rFonts w:cs="Times New Roman"/>
                <w:lang w:eastAsia="ja-JP"/>
              </w:rPr>
            </w:pPr>
            <w:r w:rsidRPr="00487795">
              <w:rPr>
                <w:rFonts w:eastAsia="Times New Roman" w:cs="Times New Roman"/>
                <w:lang w:val="sq-AL" w:eastAsia="en-GB"/>
              </w:rPr>
              <w:t>Ajkuna Anxhaku</w:t>
            </w:r>
            <w:r w:rsidR="008F3D76" w:rsidRPr="00487795">
              <w:rPr>
                <w:rFonts w:eastAsia="Times New Roman" w:cs="Times New Roman"/>
                <w:lang w:val="sq-AL" w:eastAsia="en-GB"/>
              </w:rPr>
              <w:t xml:space="preserve"> </w:t>
            </w:r>
          </w:p>
        </w:tc>
        <w:tc>
          <w:tcPr>
            <w:tcW w:w="4297" w:type="dxa"/>
            <w:shd w:val="clear" w:color="auto" w:fill="E2EFD9" w:themeFill="accent6" w:themeFillTint="33"/>
          </w:tcPr>
          <w:p w14:paraId="0C6A9FF8" w14:textId="62E93B06" w:rsidR="008149E7" w:rsidRPr="00487795" w:rsidRDefault="008149E7" w:rsidP="00487795">
            <w:pPr>
              <w:jc w:val="center"/>
              <w:rPr>
                <w:rFonts w:cs="Times New Roman"/>
                <w:lang w:val="sq-AL"/>
              </w:rPr>
            </w:pPr>
            <w:r w:rsidRPr="00487795">
              <w:rPr>
                <w:rFonts w:cs="Times New Roman"/>
                <w:lang w:val="sq-AL"/>
              </w:rPr>
              <w:t>Diskutim mbi raste nga praktika gjyq</w:t>
            </w:r>
            <w:r w:rsidR="00487795">
              <w:rPr>
                <w:rFonts w:cs="Times New Roman"/>
                <w:lang w:val="sq-AL"/>
              </w:rPr>
              <w:t>ë</w:t>
            </w:r>
            <w:r w:rsidRPr="00487795">
              <w:rPr>
                <w:rFonts w:cs="Times New Roman"/>
                <w:lang w:val="sq-AL"/>
              </w:rPr>
              <w:t>sore dhe e prokuroris</w:t>
            </w:r>
            <w:r w:rsidR="00487795">
              <w:rPr>
                <w:rFonts w:cs="Times New Roman"/>
                <w:lang w:val="sq-AL"/>
              </w:rPr>
              <w:t>ë</w:t>
            </w:r>
            <w:r w:rsidRPr="00487795">
              <w:rPr>
                <w:rFonts w:cs="Times New Roman"/>
                <w:lang w:val="sq-AL"/>
              </w:rPr>
              <w:t xml:space="preserve"> lidhur me DHBGJ</w:t>
            </w:r>
          </w:p>
          <w:p w14:paraId="27DE63F0" w14:textId="7A83FA14" w:rsidR="0065639C" w:rsidRPr="00487795" w:rsidRDefault="0065639C" w:rsidP="00487795">
            <w:pPr>
              <w:jc w:val="center"/>
              <w:rPr>
                <w:rFonts w:cs="Times New Roman"/>
              </w:rPr>
            </w:pPr>
          </w:p>
        </w:tc>
      </w:tr>
      <w:tr w:rsidR="002E7B71" w:rsidRPr="00487795" w14:paraId="67F1DCB4" w14:textId="77777777" w:rsidTr="00323826">
        <w:trPr>
          <w:trHeight w:val="810"/>
        </w:trPr>
        <w:tc>
          <w:tcPr>
            <w:tcW w:w="2242" w:type="dxa"/>
            <w:vMerge w:val="restart"/>
            <w:shd w:val="clear" w:color="auto" w:fill="9999FF"/>
          </w:tcPr>
          <w:p w14:paraId="10E20FFE" w14:textId="71879C4C" w:rsidR="002E7B71" w:rsidRPr="00487795" w:rsidRDefault="002E7B71" w:rsidP="00487795">
            <w:pPr>
              <w:jc w:val="center"/>
              <w:rPr>
                <w:rFonts w:cs="Times New Roman"/>
              </w:rPr>
            </w:pPr>
            <w:r w:rsidRPr="00487795">
              <w:rPr>
                <w:rFonts w:cs="Times New Roman"/>
              </w:rPr>
              <w:t>PYETJET VETËSTUDIMORE</w:t>
            </w:r>
            <w:r w:rsidRPr="00487795">
              <w:rPr>
                <w:rStyle w:val="FootnoteReference"/>
                <w:rFonts w:cs="Times New Roman"/>
              </w:rPr>
              <w:footnoteReference w:id="4"/>
            </w:r>
          </w:p>
        </w:tc>
        <w:tc>
          <w:tcPr>
            <w:tcW w:w="2906" w:type="dxa"/>
            <w:gridSpan w:val="2"/>
            <w:shd w:val="clear" w:color="auto" w:fill="CCCCFF"/>
          </w:tcPr>
          <w:p w14:paraId="4B8C2AAF" w14:textId="77777777" w:rsidR="002E7B71" w:rsidRPr="00487795" w:rsidRDefault="002E7B71" w:rsidP="00487795">
            <w:pPr>
              <w:jc w:val="center"/>
              <w:rPr>
                <w:rFonts w:cs="Times New Roman"/>
              </w:rPr>
            </w:pPr>
            <w:r w:rsidRPr="00487795">
              <w:rPr>
                <w:rFonts w:cs="Times New Roman"/>
              </w:rPr>
              <w:t>Ekspert</w:t>
            </w:r>
            <w:r w:rsidR="000B5737" w:rsidRPr="00487795">
              <w:rPr>
                <w:rFonts w:cs="Times New Roman"/>
              </w:rPr>
              <w:t>e</w:t>
            </w:r>
            <w:r w:rsidRPr="00487795">
              <w:rPr>
                <w:rFonts w:cs="Times New Roman"/>
              </w:rPr>
              <w:t xml:space="preserve"> </w:t>
            </w:r>
          </w:p>
          <w:p w14:paraId="5B4E6A3E" w14:textId="77777777" w:rsidR="002E7B71" w:rsidRPr="00487795" w:rsidRDefault="002E7B71" w:rsidP="00487795">
            <w:pPr>
              <w:jc w:val="center"/>
              <w:rPr>
                <w:rFonts w:cs="Times New Roman"/>
              </w:rPr>
            </w:pPr>
            <w:r w:rsidRPr="00487795">
              <w:rPr>
                <w:rFonts w:eastAsia="Times New Roman" w:cs="Times New Roman"/>
                <w:u w:val="wave"/>
                <w:lang w:val="sq-AL" w:eastAsia="en-GB"/>
              </w:rPr>
              <w:t>Arta Mandro</w:t>
            </w:r>
          </w:p>
        </w:tc>
        <w:tc>
          <w:tcPr>
            <w:tcW w:w="4297" w:type="dxa"/>
            <w:shd w:val="clear" w:color="auto" w:fill="CCCCFF"/>
          </w:tcPr>
          <w:p w14:paraId="377113E3" w14:textId="1FAA8E12" w:rsidR="008149E7" w:rsidRPr="00487795" w:rsidRDefault="008149E7" w:rsidP="00487795">
            <w:pPr>
              <w:jc w:val="both"/>
              <w:rPr>
                <w:rFonts w:cs="Times New Roman"/>
                <w:lang w:val="it-IT"/>
              </w:rPr>
            </w:pPr>
            <w:r w:rsidRPr="00487795">
              <w:rPr>
                <w:rFonts w:cs="Times New Roman"/>
                <w:lang w:val="it-IT"/>
              </w:rPr>
              <w:t xml:space="preserve">Standardet ndërkombëtare dhe të legjislacionit shqiptar mbi kushtet kryesore të lidhjes së martesës dhe ‘lejimit të lidhjes së martesave nën moshë’. Kuptimi i shkaqeve me rëndësi. </w:t>
            </w:r>
          </w:p>
          <w:p w14:paraId="6A4EB13A" w14:textId="75887498" w:rsidR="002E7B71" w:rsidRPr="00487795" w:rsidRDefault="008149E7" w:rsidP="00487795">
            <w:pPr>
              <w:rPr>
                <w:rFonts w:cs="Times New Roman"/>
              </w:rPr>
            </w:pPr>
            <w:r w:rsidRPr="00487795">
              <w:rPr>
                <w:rFonts w:cs="Times New Roman"/>
                <w:lang w:val="it-IT"/>
              </w:rPr>
              <w:t>Gjetjet kryesore nga monitorimi i praktikës gjyqësore dhe zbatimi i parimeve themelore mbi të drejtat e fëmijëve.</w:t>
            </w:r>
          </w:p>
        </w:tc>
      </w:tr>
      <w:tr w:rsidR="002E7B71" w:rsidRPr="00487795" w14:paraId="0F457DE6" w14:textId="77777777" w:rsidTr="00323826">
        <w:trPr>
          <w:trHeight w:val="872"/>
        </w:trPr>
        <w:tc>
          <w:tcPr>
            <w:tcW w:w="2242" w:type="dxa"/>
            <w:vMerge/>
            <w:shd w:val="clear" w:color="auto" w:fill="9999FF"/>
          </w:tcPr>
          <w:p w14:paraId="44ACCF0A" w14:textId="77777777" w:rsidR="002E7B71" w:rsidRPr="00487795" w:rsidRDefault="002E7B71" w:rsidP="00487795">
            <w:pPr>
              <w:jc w:val="center"/>
              <w:rPr>
                <w:rFonts w:cs="Times New Roman"/>
              </w:rPr>
            </w:pPr>
          </w:p>
        </w:tc>
        <w:tc>
          <w:tcPr>
            <w:tcW w:w="2906" w:type="dxa"/>
            <w:gridSpan w:val="2"/>
            <w:shd w:val="clear" w:color="auto" w:fill="FFF2CC" w:themeFill="accent4" w:themeFillTint="33"/>
          </w:tcPr>
          <w:p w14:paraId="348F90D2" w14:textId="77777777" w:rsidR="002E7B71" w:rsidRPr="00487795" w:rsidRDefault="002E7B71" w:rsidP="00487795">
            <w:pPr>
              <w:jc w:val="center"/>
              <w:rPr>
                <w:rFonts w:cs="Times New Roman"/>
              </w:rPr>
            </w:pPr>
            <w:r w:rsidRPr="00487795">
              <w:rPr>
                <w:rFonts w:cs="Times New Roman"/>
              </w:rPr>
              <w:t xml:space="preserve">Ekspert </w:t>
            </w:r>
          </w:p>
          <w:p w14:paraId="02B38822" w14:textId="1599FA7F" w:rsidR="002E7B71" w:rsidRPr="00487795" w:rsidRDefault="008149E7" w:rsidP="00487795">
            <w:pPr>
              <w:jc w:val="center"/>
              <w:rPr>
                <w:rFonts w:cs="Times New Roman"/>
              </w:rPr>
            </w:pPr>
            <w:r w:rsidRPr="00487795">
              <w:rPr>
                <w:rFonts w:cs="Times New Roman"/>
                <w:u w:val="wave"/>
                <w:lang w:val="sq-AL"/>
              </w:rPr>
              <w:t>Marta Bej</w:t>
            </w:r>
          </w:p>
        </w:tc>
        <w:tc>
          <w:tcPr>
            <w:tcW w:w="4297" w:type="dxa"/>
            <w:shd w:val="clear" w:color="auto" w:fill="FFF2CC" w:themeFill="accent4" w:themeFillTint="33"/>
          </w:tcPr>
          <w:p w14:paraId="6F1B8EE3" w14:textId="789E1D01" w:rsidR="002E7B71" w:rsidRPr="00487795" w:rsidRDefault="008149E7" w:rsidP="00487795">
            <w:pPr>
              <w:rPr>
                <w:rFonts w:cs="Times New Roman"/>
              </w:rPr>
            </w:pPr>
            <w:r w:rsidRPr="00487795">
              <w:rPr>
                <w:rFonts w:cs="Times New Roman"/>
              </w:rPr>
              <w:t>Një diskutim/analizë mbi nd</w:t>
            </w:r>
            <w:r w:rsidR="00487795">
              <w:rPr>
                <w:rFonts w:cs="Times New Roman"/>
              </w:rPr>
              <w:t>ë</w:t>
            </w:r>
            <w:r w:rsidRPr="00487795">
              <w:rPr>
                <w:rFonts w:cs="Times New Roman"/>
              </w:rPr>
              <w:t>rveprimin mes psikologut dhe gjykat</w:t>
            </w:r>
            <w:r w:rsidR="00487795">
              <w:rPr>
                <w:rFonts w:cs="Times New Roman"/>
              </w:rPr>
              <w:t>ë</w:t>
            </w:r>
            <w:r w:rsidRPr="00487795">
              <w:rPr>
                <w:rFonts w:cs="Times New Roman"/>
              </w:rPr>
              <w:t>s në lejimin e martesave nën moshë “për shkaqe me rëndësi” dhe vler</w:t>
            </w:r>
            <w:r w:rsidR="00487795">
              <w:rPr>
                <w:rFonts w:cs="Times New Roman"/>
              </w:rPr>
              <w:t>ë</w:t>
            </w:r>
            <w:r w:rsidRPr="00487795">
              <w:rPr>
                <w:rFonts w:cs="Times New Roman"/>
              </w:rPr>
              <w:t>simin e riskut</w:t>
            </w:r>
          </w:p>
        </w:tc>
      </w:tr>
      <w:tr w:rsidR="002E7B71" w:rsidRPr="00487795" w14:paraId="7365088A" w14:textId="77777777" w:rsidTr="00323826">
        <w:trPr>
          <w:trHeight w:val="818"/>
        </w:trPr>
        <w:tc>
          <w:tcPr>
            <w:tcW w:w="2242" w:type="dxa"/>
            <w:vMerge/>
            <w:shd w:val="clear" w:color="auto" w:fill="9999FF"/>
          </w:tcPr>
          <w:p w14:paraId="77FB9587" w14:textId="77777777" w:rsidR="002E7B71" w:rsidRPr="00487795" w:rsidRDefault="002E7B71" w:rsidP="00487795">
            <w:pPr>
              <w:jc w:val="center"/>
              <w:rPr>
                <w:rFonts w:cs="Times New Roman"/>
              </w:rPr>
            </w:pPr>
          </w:p>
        </w:tc>
        <w:tc>
          <w:tcPr>
            <w:tcW w:w="2906" w:type="dxa"/>
            <w:gridSpan w:val="2"/>
            <w:shd w:val="clear" w:color="auto" w:fill="E2EFD9" w:themeFill="accent6" w:themeFillTint="33"/>
          </w:tcPr>
          <w:p w14:paraId="09A445FF" w14:textId="77777777" w:rsidR="002E7B71" w:rsidRPr="00487795" w:rsidRDefault="002E7B71" w:rsidP="00487795">
            <w:pPr>
              <w:jc w:val="center"/>
              <w:rPr>
                <w:rFonts w:cs="Times New Roman"/>
                <w:lang w:eastAsia="ja-JP"/>
              </w:rPr>
            </w:pPr>
            <w:r w:rsidRPr="00487795">
              <w:rPr>
                <w:rFonts w:cs="Times New Roman"/>
              </w:rPr>
              <w:t>Leht</w:t>
            </w:r>
            <w:r w:rsidRPr="00487795">
              <w:rPr>
                <w:rFonts w:cs="Times New Roman"/>
                <w:lang w:eastAsia="ja-JP"/>
              </w:rPr>
              <w:t>ësues</w:t>
            </w:r>
            <w:r w:rsidR="000B5737" w:rsidRPr="00487795">
              <w:rPr>
                <w:rFonts w:cs="Times New Roman"/>
                <w:lang w:eastAsia="ja-JP"/>
              </w:rPr>
              <w:t>e</w:t>
            </w:r>
          </w:p>
          <w:p w14:paraId="7E1DF51D" w14:textId="0305D5A4" w:rsidR="002E7B71" w:rsidRPr="00487795" w:rsidRDefault="008149E7" w:rsidP="00487795">
            <w:pPr>
              <w:jc w:val="center"/>
              <w:rPr>
                <w:rFonts w:cs="Times New Roman"/>
                <w:lang w:eastAsia="ja-JP"/>
              </w:rPr>
            </w:pPr>
            <w:r w:rsidRPr="00487795">
              <w:rPr>
                <w:rFonts w:eastAsia="Times New Roman" w:cs="Times New Roman"/>
                <w:lang w:val="sq-AL" w:eastAsia="en-GB"/>
              </w:rPr>
              <w:t>Ajkuna Anxhaku</w:t>
            </w:r>
          </w:p>
        </w:tc>
        <w:tc>
          <w:tcPr>
            <w:tcW w:w="4297" w:type="dxa"/>
            <w:shd w:val="clear" w:color="auto" w:fill="E2EFD9" w:themeFill="accent6" w:themeFillTint="33"/>
          </w:tcPr>
          <w:p w14:paraId="5E51638D" w14:textId="11E1B026" w:rsidR="002E7B71" w:rsidRPr="00487795" w:rsidRDefault="008149E7" w:rsidP="00487795">
            <w:pPr>
              <w:jc w:val="center"/>
              <w:rPr>
                <w:rFonts w:cs="Times New Roman"/>
              </w:rPr>
            </w:pPr>
            <w:r w:rsidRPr="00487795">
              <w:rPr>
                <w:rFonts w:cs="Times New Roman"/>
              </w:rPr>
              <w:t>Raste praktike</w:t>
            </w:r>
          </w:p>
        </w:tc>
      </w:tr>
      <w:tr w:rsidR="00C516BA" w:rsidRPr="00487795" w14:paraId="48E2D628" w14:textId="77777777" w:rsidTr="00323826">
        <w:trPr>
          <w:trHeight w:val="1628"/>
        </w:trPr>
        <w:tc>
          <w:tcPr>
            <w:tcW w:w="2242" w:type="dxa"/>
            <w:shd w:val="clear" w:color="auto" w:fill="9999FF"/>
          </w:tcPr>
          <w:p w14:paraId="06057AB1" w14:textId="77777777" w:rsidR="00C516BA" w:rsidRPr="00487795" w:rsidRDefault="00C516BA" w:rsidP="00487795">
            <w:pPr>
              <w:jc w:val="center"/>
              <w:rPr>
                <w:rFonts w:cs="Times New Roman"/>
              </w:rPr>
            </w:pPr>
            <w:r w:rsidRPr="00487795">
              <w:rPr>
                <w:rFonts w:cs="Times New Roman"/>
              </w:rPr>
              <w:t>STRUKTURA DHE METODOLOGJIA</w:t>
            </w:r>
            <w:r w:rsidRPr="00487795">
              <w:rPr>
                <w:rStyle w:val="FootnoteReference"/>
                <w:rFonts w:cs="Times New Roman"/>
              </w:rPr>
              <w:footnoteReference w:id="5"/>
            </w:r>
          </w:p>
          <w:p w14:paraId="1B4082CA" w14:textId="77777777" w:rsidR="00C516BA" w:rsidRPr="00487795" w:rsidRDefault="00C516BA" w:rsidP="00487795">
            <w:pPr>
              <w:jc w:val="center"/>
              <w:rPr>
                <w:rFonts w:cs="Times New Roman"/>
              </w:rPr>
            </w:pPr>
            <w:r w:rsidRPr="00487795">
              <w:rPr>
                <w:rFonts w:cs="Times New Roman"/>
              </w:rPr>
              <w:t>(ushtrimet dhe rastet praktike)</w:t>
            </w:r>
            <w:r w:rsidRPr="00487795">
              <w:rPr>
                <w:rStyle w:val="FootnoteReference"/>
                <w:rFonts w:cs="Times New Roman"/>
              </w:rPr>
              <w:footnoteReference w:id="6"/>
            </w:r>
          </w:p>
        </w:tc>
        <w:tc>
          <w:tcPr>
            <w:tcW w:w="2906" w:type="dxa"/>
            <w:gridSpan w:val="2"/>
          </w:tcPr>
          <w:p w14:paraId="14E6327D" w14:textId="77777777" w:rsidR="00C516BA" w:rsidRPr="00487795" w:rsidRDefault="00C516BA" w:rsidP="00487795">
            <w:pPr>
              <w:jc w:val="center"/>
              <w:rPr>
                <w:rFonts w:cs="Times New Roman"/>
              </w:rPr>
            </w:pPr>
            <w:r w:rsidRPr="00487795">
              <w:rPr>
                <w:rFonts w:cs="Times New Roman"/>
              </w:rPr>
              <w:t>I përbashkët</w:t>
            </w:r>
          </w:p>
        </w:tc>
        <w:tc>
          <w:tcPr>
            <w:tcW w:w="4297" w:type="dxa"/>
          </w:tcPr>
          <w:p w14:paraId="5E2B943D" w14:textId="77777777" w:rsidR="00C516BA" w:rsidRPr="00487795" w:rsidRDefault="006A7FCA" w:rsidP="00487795">
            <w:pPr>
              <w:jc w:val="center"/>
              <w:rPr>
                <w:rFonts w:cs="Times New Roman"/>
              </w:rPr>
            </w:pPr>
            <w:r w:rsidRPr="00487795">
              <w:rPr>
                <w:rFonts w:cs="Times New Roman"/>
              </w:rPr>
              <w:t>Trajnimi do të realizohet duke ndërthurur prezantimet (deri në 20 min) me diskutimin e çështjeve të shtruara (pyetjeve vetëstudimore- pyetje përgjigjje) dhe ushtrimeve me raste dhe kazuse praktike &amp; kuize.</w:t>
            </w:r>
          </w:p>
        </w:tc>
      </w:tr>
      <w:tr w:rsidR="002E7B71" w:rsidRPr="00487795" w14:paraId="23F43E0B" w14:textId="77777777" w:rsidTr="002E7B71">
        <w:trPr>
          <w:trHeight w:val="512"/>
        </w:trPr>
        <w:tc>
          <w:tcPr>
            <w:tcW w:w="2242" w:type="dxa"/>
            <w:vMerge w:val="restart"/>
            <w:shd w:val="clear" w:color="auto" w:fill="9999FF"/>
          </w:tcPr>
          <w:p w14:paraId="413E88E2" w14:textId="77777777" w:rsidR="002E7B71" w:rsidRPr="00487795" w:rsidRDefault="002E7B71" w:rsidP="00487795">
            <w:pPr>
              <w:jc w:val="center"/>
              <w:rPr>
                <w:rFonts w:cs="Times New Roman"/>
              </w:rPr>
            </w:pPr>
            <w:r w:rsidRPr="00487795">
              <w:rPr>
                <w:rFonts w:cs="Times New Roman"/>
              </w:rPr>
              <w:t>MATERIALET E TRAJNIMIT</w:t>
            </w:r>
            <w:r w:rsidRPr="00487795">
              <w:rPr>
                <w:rFonts w:cs="Times New Roman"/>
                <w:vertAlign w:val="superscript"/>
              </w:rPr>
              <w:footnoteReference w:id="7"/>
            </w:r>
          </w:p>
        </w:tc>
        <w:tc>
          <w:tcPr>
            <w:tcW w:w="1263" w:type="dxa"/>
            <w:vMerge w:val="restart"/>
            <w:shd w:val="clear" w:color="auto" w:fill="9999FF"/>
          </w:tcPr>
          <w:p w14:paraId="17162377" w14:textId="77777777" w:rsidR="002E7B71" w:rsidRPr="00487795" w:rsidRDefault="002E7B71" w:rsidP="00487795">
            <w:pPr>
              <w:jc w:val="both"/>
              <w:rPr>
                <w:rFonts w:cs="Times New Roman"/>
              </w:rPr>
            </w:pPr>
            <w:r w:rsidRPr="00487795">
              <w:rPr>
                <w:rFonts w:cs="Times New Roman"/>
              </w:rPr>
              <w:t>Leksion i ekspertit</w:t>
            </w:r>
          </w:p>
        </w:tc>
        <w:tc>
          <w:tcPr>
            <w:tcW w:w="1643" w:type="dxa"/>
            <w:shd w:val="clear" w:color="auto" w:fill="CCCCFF"/>
          </w:tcPr>
          <w:p w14:paraId="475B4C25" w14:textId="77777777" w:rsidR="002E7B71" w:rsidRPr="00487795" w:rsidRDefault="002E7B71" w:rsidP="00487795">
            <w:pPr>
              <w:jc w:val="center"/>
              <w:rPr>
                <w:rFonts w:cs="Times New Roman"/>
              </w:rPr>
            </w:pPr>
            <w:r w:rsidRPr="00487795">
              <w:rPr>
                <w:rFonts w:cs="Times New Roman"/>
              </w:rPr>
              <w:t>Ekspert</w:t>
            </w:r>
            <w:r w:rsidR="000B5737" w:rsidRPr="00487795">
              <w:rPr>
                <w:rFonts w:cs="Times New Roman"/>
              </w:rPr>
              <w:t>e</w:t>
            </w:r>
            <w:r w:rsidRPr="00487795">
              <w:rPr>
                <w:rFonts w:cs="Times New Roman"/>
              </w:rPr>
              <w:t xml:space="preserve"> </w:t>
            </w:r>
          </w:p>
          <w:p w14:paraId="1484FEF6" w14:textId="77777777" w:rsidR="002E7B71" w:rsidRPr="00487795" w:rsidRDefault="002E7B71" w:rsidP="00487795">
            <w:pPr>
              <w:jc w:val="center"/>
              <w:rPr>
                <w:rFonts w:cs="Times New Roman"/>
              </w:rPr>
            </w:pPr>
            <w:r w:rsidRPr="00487795">
              <w:rPr>
                <w:rFonts w:eastAsia="Times New Roman" w:cs="Times New Roman"/>
                <w:u w:val="wave"/>
                <w:lang w:val="sq-AL" w:eastAsia="en-GB"/>
              </w:rPr>
              <w:t>Arta Mandro</w:t>
            </w:r>
          </w:p>
        </w:tc>
        <w:tc>
          <w:tcPr>
            <w:tcW w:w="4297" w:type="dxa"/>
            <w:shd w:val="clear" w:color="auto" w:fill="CCCCFF"/>
          </w:tcPr>
          <w:p w14:paraId="2DE0CBB9" w14:textId="41256A6D" w:rsidR="002E7B71" w:rsidRPr="00487795" w:rsidRDefault="008149E7" w:rsidP="00487795">
            <w:pPr>
              <w:jc w:val="center"/>
              <w:rPr>
                <w:rFonts w:cs="Times New Roman"/>
              </w:rPr>
            </w:pPr>
            <w:r w:rsidRPr="00487795">
              <w:rPr>
                <w:rFonts w:cs="Times New Roman"/>
              </w:rPr>
              <w:t xml:space="preserve">Ushtrime dhe prezantim </w:t>
            </w:r>
          </w:p>
        </w:tc>
      </w:tr>
      <w:tr w:rsidR="002E7B71" w:rsidRPr="00487795" w14:paraId="09890296" w14:textId="77777777" w:rsidTr="002E7B71">
        <w:trPr>
          <w:trHeight w:val="503"/>
        </w:trPr>
        <w:tc>
          <w:tcPr>
            <w:tcW w:w="2242" w:type="dxa"/>
            <w:vMerge/>
            <w:shd w:val="clear" w:color="auto" w:fill="9999FF"/>
          </w:tcPr>
          <w:p w14:paraId="6BFCEA8F" w14:textId="77777777" w:rsidR="002E7B71" w:rsidRPr="00487795" w:rsidRDefault="002E7B71" w:rsidP="00487795">
            <w:pPr>
              <w:jc w:val="center"/>
              <w:rPr>
                <w:rFonts w:cs="Times New Roman"/>
              </w:rPr>
            </w:pPr>
          </w:p>
        </w:tc>
        <w:tc>
          <w:tcPr>
            <w:tcW w:w="1263" w:type="dxa"/>
            <w:vMerge/>
            <w:shd w:val="clear" w:color="auto" w:fill="9999FF"/>
          </w:tcPr>
          <w:p w14:paraId="60BF637D" w14:textId="77777777" w:rsidR="002E7B71" w:rsidRPr="00487795" w:rsidRDefault="002E7B71" w:rsidP="00487795">
            <w:pPr>
              <w:jc w:val="both"/>
              <w:rPr>
                <w:rFonts w:cs="Times New Roman"/>
              </w:rPr>
            </w:pPr>
          </w:p>
        </w:tc>
        <w:tc>
          <w:tcPr>
            <w:tcW w:w="1643" w:type="dxa"/>
            <w:shd w:val="clear" w:color="auto" w:fill="FFF2CC" w:themeFill="accent4" w:themeFillTint="33"/>
          </w:tcPr>
          <w:p w14:paraId="21620369" w14:textId="77777777" w:rsidR="008149E7" w:rsidRPr="00487795" w:rsidRDefault="008149E7" w:rsidP="00487795">
            <w:pPr>
              <w:jc w:val="center"/>
              <w:rPr>
                <w:rFonts w:cs="Times New Roman"/>
                <w:lang w:eastAsia="ja-JP"/>
              </w:rPr>
            </w:pPr>
            <w:r w:rsidRPr="00487795">
              <w:rPr>
                <w:rFonts w:cs="Times New Roman"/>
              </w:rPr>
              <w:t>Leht</w:t>
            </w:r>
            <w:r w:rsidRPr="00487795">
              <w:rPr>
                <w:rFonts w:cs="Times New Roman"/>
                <w:lang w:eastAsia="ja-JP"/>
              </w:rPr>
              <w:t>ësues</w:t>
            </w:r>
          </w:p>
          <w:p w14:paraId="45933EB7" w14:textId="6AB6563F" w:rsidR="002E7B71" w:rsidRPr="00487795" w:rsidRDefault="008149E7" w:rsidP="00487795">
            <w:pPr>
              <w:jc w:val="center"/>
              <w:rPr>
                <w:rFonts w:cs="Times New Roman"/>
              </w:rPr>
            </w:pPr>
            <w:r w:rsidRPr="00487795">
              <w:rPr>
                <w:rFonts w:cs="Times New Roman"/>
              </w:rPr>
              <w:t>Marta Bej</w:t>
            </w:r>
          </w:p>
        </w:tc>
        <w:tc>
          <w:tcPr>
            <w:tcW w:w="4297" w:type="dxa"/>
            <w:shd w:val="clear" w:color="auto" w:fill="FFF2CC" w:themeFill="accent4" w:themeFillTint="33"/>
          </w:tcPr>
          <w:p w14:paraId="3CD9C5E0" w14:textId="7017A32C" w:rsidR="002E7B71" w:rsidRPr="00487795" w:rsidRDefault="002E7B71" w:rsidP="00487795">
            <w:pPr>
              <w:jc w:val="center"/>
              <w:rPr>
                <w:rFonts w:cs="Times New Roman"/>
              </w:rPr>
            </w:pPr>
          </w:p>
        </w:tc>
      </w:tr>
      <w:tr w:rsidR="002E7B71" w:rsidRPr="00487795" w14:paraId="219726BF" w14:textId="77777777" w:rsidTr="002E7B71">
        <w:trPr>
          <w:trHeight w:val="503"/>
        </w:trPr>
        <w:tc>
          <w:tcPr>
            <w:tcW w:w="2242" w:type="dxa"/>
            <w:vMerge/>
            <w:shd w:val="clear" w:color="auto" w:fill="9999FF"/>
          </w:tcPr>
          <w:p w14:paraId="6834F0A8" w14:textId="77777777" w:rsidR="002E7B71" w:rsidRPr="00487795" w:rsidRDefault="002E7B71" w:rsidP="00487795">
            <w:pPr>
              <w:jc w:val="center"/>
              <w:rPr>
                <w:rFonts w:cs="Times New Roman"/>
              </w:rPr>
            </w:pPr>
          </w:p>
        </w:tc>
        <w:tc>
          <w:tcPr>
            <w:tcW w:w="1263" w:type="dxa"/>
            <w:vMerge/>
            <w:shd w:val="clear" w:color="auto" w:fill="9999FF"/>
          </w:tcPr>
          <w:p w14:paraId="520157C3" w14:textId="77777777" w:rsidR="002E7B71" w:rsidRPr="00487795" w:rsidRDefault="002E7B71" w:rsidP="00487795">
            <w:pPr>
              <w:jc w:val="both"/>
              <w:rPr>
                <w:rFonts w:cs="Times New Roman"/>
              </w:rPr>
            </w:pPr>
          </w:p>
        </w:tc>
        <w:tc>
          <w:tcPr>
            <w:tcW w:w="1643" w:type="dxa"/>
            <w:shd w:val="clear" w:color="auto" w:fill="E2EFD9" w:themeFill="accent6" w:themeFillTint="33"/>
          </w:tcPr>
          <w:p w14:paraId="1890C1EA" w14:textId="77777777" w:rsidR="002E7B71" w:rsidRPr="00487795" w:rsidRDefault="002E7B71" w:rsidP="00487795">
            <w:pPr>
              <w:jc w:val="center"/>
              <w:rPr>
                <w:rFonts w:cs="Times New Roman"/>
                <w:lang w:eastAsia="ja-JP"/>
              </w:rPr>
            </w:pPr>
            <w:r w:rsidRPr="00487795">
              <w:rPr>
                <w:rFonts w:cs="Times New Roman"/>
              </w:rPr>
              <w:t>Leht</w:t>
            </w:r>
            <w:r w:rsidRPr="00487795">
              <w:rPr>
                <w:rFonts w:cs="Times New Roman"/>
                <w:lang w:eastAsia="ja-JP"/>
              </w:rPr>
              <w:t>ësues</w:t>
            </w:r>
          </w:p>
          <w:p w14:paraId="046BDAF8" w14:textId="01261980" w:rsidR="002E7B71" w:rsidRPr="00487795" w:rsidRDefault="008149E7" w:rsidP="00487795">
            <w:pPr>
              <w:jc w:val="center"/>
              <w:rPr>
                <w:rFonts w:cs="Times New Roman"/>
                <w:lang w:eastAsia="ja-JP"/>
              </w:rPr>
            </w:pPr>
            <w:r w:rsidRPr="00487795">
              <w:rPr>
                <w:rFonts w:eastAsia="Times New Roman" w:cs="Times New Roman"/>
                <w:lang w:val="sq-AL" w:eastAsia="en-GB"/>
              </w:rPr>
              <w:t>Ajkuna Anxhaku</w:t>
            </w:r>
          </w:p>
        </w:tc>
        <w:tc>
          <w:tcPr>
            <w:tcW w:w="4297" w:type="dxa"/>
            <w:shd w:val="clear" w:color="auto" w:fill="E2EFD9" w:themeFill="accent6" w:themeFillTint="33"/>
          </w:tcPr>
          <w:p w14:paraId="38BC0EF9" w14:textId="53709BC8" w:rsidR="002E7B71" w:rsidRPr="00487795" w:rsidRDefault="002E7B71" w:rsidP="00487795">
            <w:pPr>
              <w:jc w:val="center"/>
              <w:rPr>
                <w:rFonts w:cs="Times New Roman"/>
              </w:rPr>
            </w:pPr>
          </w:p>
        </w:tc>
      </w:tr>
      <w:tr w:rsidR="002E7B71" w:rsidRPr="00487795" w14:paraId="4AF484E3" w14:textId="77777777" w:rsidTr="00323826">
        <w:trPr>
          <w:trHeight w:val="503"/>
        </w:trPr>
        <w:tc>
          <w:tcPr>
            <w:tcW w:w="2242" w:type="dxa"/>
            <w:vMerge/>
            <w:shd w:val="clear" w:color="auto" w:fill="9999FF"/>
          </w:tcPr>
          <w:p w14:paraId="3EB64162" w14:textId="77777777" w:rsidR="002E7B71" w:rsidRPr="00487795" w:rsidRDefault="002E7B71" w:rsidP="00487795">
            <w:pPr>
              <w:jc w:val="center"/>
              <w:rPr>
                <w:rFonts w:cs="Times New Roman"/>
              </w:rPr>
            </w:pPr>
          </w:p>
        </w:tc>
        <w:tc>
          <w:tcPr>
            <w:tcW w:w="1263" w:type="dxa"/>
            <w:vMerge w:val="restart"/>
            <w:shd w:val="clear" w:color="auto" w:fill="9999FF"/>
          </w:tcPr>
          <w:p w14:paraId="70F717D4" w14:textId="77777777" w:rsidR="002E7B71" w:rsidRPr="00487795" w:rsidRDefault="002E7B71" w:rsidP="00487795">
            <w:pPr>
              <w:jc w:val="both"/>
              <w:rPr>
                <w:rFonts w:cs="Times New Roman"/>
              </w:rPr>
            </w:pPr>
            <w:r w:rsidRPr="00487795">
              <w:rPr>
                <w:rFonts w:cs="Times New Roman"/>
              </w:rPr>
              <w:t>Literatura ku është mbështetur</w:t>
            </w:r>
          </w:p>
        </w:tc>
        <w:tc>
          <w:tcPr>
            <w:tcW w:w="1643" w:type="dxa"/>
            <w:shd w:val="clear" w:color="auto" w:fill="CCCCFF"/>
          </w:tcPr>
          <w:p w14:paraId="525A07F1" w14:textId="77777777" w:rsidR="002E7B71" w:rsidRPr="00487795" w:rsidRDefault="002E7B71" w:rsidP="00487795">
            <w:pPr>
              <w:jc w:val="center"/>
              <w:rPr>
                <w:rFonts w:cs="Times New Roman"/>
              </w:rPr>
            </w:pPr>
            <w:r w:rsidRPr="00487795">
              <w:rPr>
                <w:rFonts w:cs="Times New Roman"/>
              </w:rPr>
              <w:t>Ekspert</w:t>
            </w:r>
            <w:r w:rsidR="000B5737" w:rsidRPr="00487795">
              <w:rPr>
                <w:rFonts w:cs="Times New Roman"/>
              </w:rPr>
              <w:t>e</w:t>
            </w:r>
            <w:r w:rsidRPr="00487795">
              <w:rPr>
                <w:rFonts w:cs="Times New Roman"/>
              </w:rPr>
              <w:t xml:space="preserve"> </w:t>
            </w:r>
          </w:p>
          <w:p w14:paraId="62EF7FFE" w14:textId="77777777" w:rsidR="002E7B71" w:rsidRPr="00487795" w:rsidRDefault="002E7B71" w:rsidP="00487795">
            <w:pPr>
              <w:jc w:val="center"/>
              <w:rPr>
                <w:rFonts w:cs="Times New Roman"/>
              </w:rPr>
            </w:pPr>
            <w:r w:rsidRPr="00487795">
              <w:rPr>
                <w:rFonts w:eastAsia="Times New Roman" w:cs="Times New Roman"/>
                <w:u w:val="wave"/>
                <w:lang w:val="sq-AL" w:eastAsia="en-GB"/>
              </w:rPr>
              <w:t>Arta Mandro</w:t>
            </w:r>
          </w:p>
        </w:tc>
        <w:tc>
          <w:tcPr>
            <w:tcW w:w="4297" w:type="dxa"/>
            <w:shd w:val="clear" w:color="auto" w:fill="CCCCFF"/>
          </w:tcPr>
          <w:p w14:paraId="07CAC822" w14:textId="2344FF6D" w:rsidR="00487795" w:rsidRPr="00487795" w:rsidRDefault="00487795" w:rsidP="00487795">
            <w:pPr>
              <w:jc w:val="center"/>
            </w:pPr>
            <w:r w:rsidRPr="00487795">
              <w:t>Mandro, Anastasi, Semini “</w:t>
            </w:r>
            <w:hyperlink r:id="rId8" w:history="1">
              <w:r w:rsidRPr="00487795">
                <w:rPr>
                  <w:rStyle w:val="Hyperlink"/>
                </w:rPr>
                <w:t>Komentar i ligjit për masa ndaj dhunës në marrëdhëniet familjare</w:t>
              </w:r>
            </w:hyperlink>
            <w:r w:rsidRPr="00487795">
              <w:t xml:space="preserve">”, Tiranë 2021. UNDP dhe Shkolla e Magjistraturës. </w:t>
            </w:r>
          </w:p>
          <w:p w14:paraId="47FE071F" w14:textId="3CA5402C" w:rsidR="00487795" w:rsidRPr="00487795" w:rsidRDefault="00487795" w:rsidP="00487795">
            <w:pPr>
              <w:jc w:val="center"/>
            </w:pPr>
            <w:r w:rsidRPr="00487795">
              <w:t xml:space="preserve">INSTAT. Marriages classified by sex and age groups for the years 1990- 2008, available at: </w:t>
            </w:r>
            <w:hyperlink r:id="rId9" w:history="1">
              <w:r>
                <w:rPr>
                  <w:rStyle w:val="Hyperlink"/>
                </w:rPr>
                <w:t>ëëë</w:t>
              </w:r>
              <w:r w:rsidRPr="00487795">
                <w:rPr>
                  <w:rStyle w:val="Hyperlink"/>
                </w:rPr>
                <w:t>.instat.gov.al</w:t>
              </w:r>
            </w:hyperlink>
            <w:r w:rsidRPr="00487795">
              <w:t xml:space="preserve">  </w:t>
            </w:r>
          </w:p>
          <w:p w14:paraId="53A23C17" w14:textId="46D0B748" w:rsidR="00487795" w:rsidRPr="00487795" w:rsidRDefault="00487795" w:rsidP="00487795">
            <w:pPr>
              <w:jc w:val="center"/>
            </w:pPr>
            <w:r w:rsidRPr="00487795">
              <w:t xml:space="preserve">Përqindja e martesave sipas grupmoshave dhe gjinisë, 2020, në </w:t>
            </w:r>
            <w:hyperlink r:id="rId10" w:history="1">
              <w:r w:rsidRPr="00487795">
                <w:rPr>
                  <w:rStyle w:val="Hyperlink"/>
                </w:rPr>
                <w:t>https://</w:t>
              </w:r>
              <w:r>
                <w:rPr>
                  <w:rStyle w:val="Hyperlink"/>
                </w:rPr>
                <w:t>ëëë</w:t>
              </w:r>
              <w:r w:rsidRPr="00487795">
                <w:rPr>
                  <w:rStyle w:val="Hyperlink"/>
                </w:rPr>
                <w:t>.instat.gov.al/media/8696/grate-dhe-burrat-ne-shqiperi-2021.pdf</w:t>
              </w:r>
            </w:hyperlink>
          </w:p>
          <w:p w14:paraId="51923AD9" w14:textId="096C855D" w:rsidR="002E7B71" w:rsidRPr="00487795" w:rsidRDefault="002037E7" w:rsidP="00487795">
            <w:pPr>
              <w:jc w:val="center"/>
            </w:pPr>
            <w:r w:rsidRPr="00487795">
              <w:t>Committee on the Rights of the Child.</w:t>
            </w:r>
            <w:r w:rsidRPr="00487795">
              <w:rPr>
                <w:b/>
              </w:rPr>
              <w:t xml:space="preserve"> </w:t>
            </w:r>
            <w:r w:rsidRPr="00487795">
              <w:t xml:space="preserve">List of issues in relation </w:t>
            </w:r>
            <w:r w:rsidRPr="00487795">
              <w:rPr>
                <w:color w:val="000000"/>
              </w:rPr>
              <w:t xml:space="preserve">to the combined fifth and sixth periodic </w:t>
            </w:r>
            <w:r w:rsidRPr="00487795">
              <w:t xml:space="preserve">reports </w:t>
            </w:r>
            <w:r w:rsidRPr="00487795">
              <w:rPr>
                <w:color w:val="000000"/>
              </w:rPr>
              <w:t>of Albania</w:t>
            </w:r>
            <w:r w:rsidRPr="00487795">
              <w:rPr>
                <w:rStyle w:val="FootnoteReference"/>
                <w:bCs/>
              </w:rPr>
              <w:t>*</w:t>
            </w:r>
            <w:r w:rsidRPr="00487795">
              <w:rPr>
                <w:bCs/>
              </w:rPr>
              <w:t>. 21 Tetor</w:t>
            </w:r>
            <w:r w:rsidRPr="00487795">
              <w:t xml:space="preserve"> 2022. CRC/C/ALB/Q/5-6</w:t>
            </w:r>
          </w:p>
          <w:p w14:paraId="4FFFF065" w14:textId="77777777" w:rsidR="002037E7" w:rsidRPr="00487795" w:rsidRDefault="002037E7" w:rsidP="00487795">
            <w:pPr>
              <w:jc w:val="center"/>
              <w:rPr>
                <w:lang w:val="bg-BG"/>
              </w:rPr>
            </w:pPr>
            <w:r w:rsidRPr="00487795">
              <w:rPr>
                <w:lang w:val="bg-BG"/>
              </w:rPr>
              <w:t xml:space="preserve">Rezoluta e Këshillit të të Drejtave të Njeriut, e miratuar me konsensus për t'i dhënë fund martesës së fëmijëve, martesës të hershme dhe me detyrim </w:t>
            </w:r>
            <w:r w:rsidRPr="00487795">
              <w:t xml:space="preserve">(CEFM- </w:t>
            </w:r>
            <w:hyperlink r:id="rId11" w:tgtFrame="_blank" w:history="1">
              <w:r w:rsidRPr="00487795">
                <w:t>resolution </w:t>
              </w:r>
            </w:hyperlink>
            <w:hyperlink r:id="rId12" w:tgtFrame="_blank" w:history="1">
              <w:r w:rsidRPr="00487795">
                <w:t>A/HRC/53/L.3/Rev.1</w:t>
              </w:r>
            </w:hyperlink>
            <w:r w:rsidRPr="00487795">
              <w:t>).</w:t>
            </w:r>
          </w:p>
          <w:p w14:paraId="798C71B8" w14:textId="10F5B0B6" w:rsidR="002037E7" w:rsidRPr="00487795" w:rsidRDefault="002037E7" w:rsidP="00487795">
            <w:pPr>
              <w:jc w:val="center"/>
            </w:pPr>
            <w:r w:rsidRPr="00487795">
              <w:t xml:space="preserve">Legislating And Enforcing The Minimum Age Of Marriage: A Comparative Study Of Experiences And Lessons Learned In Ending The Legalization Of Child Marriage: </w:t>
            </w:r>
            <w:hyperlink r:id="rId13" w:history="1">
              <w:r w:rsidRPr="00487795">
                <w:rPr>
                  <w:rStyle w:val="Hyperlink"/>
                </w:rPr>
                <w:t>https://</w:t>
              </w:r>
              <w:r w:rsidR="00487795">
                <w:rPr>
                  <w:rStyle w:val="Hyperlink"/>
                </w:rPr>
                <w:t>ëëë</w:t>
              </w:r>
              <w:r w:rsidRPr="00487795">
                <w:rPr>
                  <w:rStyle w:val="Hyperlink"/>
                </w:rPr>
                <w:t>.un</w:t>
              </w:r>
              <w:r w:rsidR="00487795">
                <w:rPr>
                  <w:rStyle w:val="Hyperlink"/>
                </w:rPr>
                <w:t>ë</w:t>
              </w:r>
              <w:r w:rsidRPr="00487795">
                <w:rPr>
                  <w:rStyle w:val="Hyperlink"/>
                </w:rPr>
                <w:t>omen.org/en/digital-library/publications/2023/09/legislating-and-enforcing-the-minimum-age-of-marriage</w:t>
              </w:r>
            </w:hyperlink>
          </w:p>
          <w:p w14:paraId="56C3E4CC" w14:textId="77777777" w:rsidR="002037E7" w:rsidRPr="00487795" w:rsidRDefault="002037E7" w:rsidP="00487795">
            <w:pPr>
              <w:jc w:val="center"/>
            </w:pPr>
            <w:r w:rsidRPr="00487795">
              <w:t>Ligji 18/2017 “Për të drejtat dhe mbrojtjen e fëmijëve”; VKM nr. 659/3.11.2021 “Për miratimin e agjendës kombëtare për të drejtat e fëmijëve 2021–2026”. Përmes Agjendës janë parashikuar masat të cilat kanë të bëjnë me parandalimin e fenomenit të martesës së hershme;</w:t>
            </w:r>
          </w:p>
          <w:p w14:paraId="4CE2AADE" w14:textId="77777777" w:rsidR="002037E7" w:rsidRPr="00487795" w:rsidRDefault="002037E7" w:rsidP="00487795">
            <w:pPr>
              <w:jc w:val="center"/>
            </w:pPr>
            <w:r w:rsidRPr="00487795">
              <w:t xml:space="preserve">Arta Mandro-Balili </w:t>
            </w:r>
            <w:hyperlink r:id="rId14" w:history="1">
              <w:r w:rsidRPr="00487795">
                <w:rPr>
                  <w:rStyle w:val="Hyperlink"/>
                  <w:b/>
                  <w:bCs/>
                </w:rPr>
                <w:t>“</w:t>
              </w:r>
              <w:r w:rsidRPr="00487795">
                <w:rPr>
                  <w:rStyle w:val="Hyperlink"/>
                </w:rPr>
                <w:t>Diskriminimi gjinor në çështjet familjare e martesore”.</w:t>
              </w:r>
            </w:hyperlink>
            <w:r w:rsidRPr="00487795">
              <w:t xml:space="preserve"> Tiranë, 2014.</w:t>
            </w:r>
          </w:p>
          <w:p w14:paraId="7FFCC46A" w14:textId="77777777" w:rsidR="002037E7" w:rsidRPr="00487795" w:rsidRDefault="002037E7" w:rsidP="00487795">
            <w:pPr>
              <w:jc w:val="center"/>
              <w:rPr>
                <w:i/>
                <w:iCs/>
                <w:color w:val="111111"/>
              </w:rPr>
            </w:pPr>
            <w:r w:rsidRPr="00487795">
              <w:t xml:space="preserve">“Martesë në gjykatë? Të drejtat e fëmijëve, martesa nën moshë dhe roli i gjykatës.” Raporti 2. Me autor Arta Mandro. Ky raport ndalet në aspektet ligjore, sociale dhe praktikën gjyqësore të martesave nën moshë në Shkodër, Kukës, Tropojë, Lezhë, Pukë, Fier dhe Kavajë për periudhën 2011 – 2017. Tiranë, Qershor 2018; shih gjithashtu raportin e ODFR </w:t>
            </w:r>
            <w:hyperlink r:id="rId15" w:history="1">
              <w:r w:rsidRPr="00487795">
                <w:rPr>
                  <w:rStyle w:val="Hyperlink"/>
                </w:rPr>
                <w:t xml:space="preserve"> “Martesë në gjykatë? Të drejtat e fëmijëve, martesa nën moshë dhe roli i gjykatës”</w:t>
              </w:r>
            </w:hyperlink>
            <w:r w:rsidRPr="00487795">
              <w:t xml:space="preserve"> me autor Arta Mandro&amp; Bernard Zeneli: Raporti 1. Raporti ndalet në aspektet ligjore, sociale dhe pratikën gjyqësore të martesave nën moshë në Korçë dhe Pogradec për periudhën 2011-2016”. Botuar në Tiranë Shkurt 2017;</w:t>
            </w:r>
            <w:r w:rsidRPr="00487795">
              <w:rPr>
                <w:i/>
                <w:iCs/>
                <w:color w:val="111111"/>
              </w:rPr>
              <w:t xml:space="preserve"> Shih </w:t>
            </w:r>
            <w:r w:rsidRPr="00487795">
              <w:rPr>
                <w:iCs/>
                <w:color w:val="111111"/>
              </w:rPr>
              <w:t>Arta Mandro Balili</w:t>
            </w:r>
            <w:r w:rsidRPr="00487795">
              <w:rPr>
                <w:i/>
                <w:iCs/>
                <w:color w:val="111111"/>
              </w:rPr>
              <w:t>“Diskriminimi gjinor në çështjet familjare e martesore. Roli i gjyqësorit shqiptar në eliminimin e tij”, Botim i Shkollës së Magjistraturës dhe UNDP, (Prill 2017)</w:t>
            </w:r>
          </w:p>
          <w:p w14:paraId="190E0C24" w14:textId="2A6D91FF" w:rsidR="002037E7" w:rsidRPr="00487795" w:rsidRDefault="002037E7" w:rsidP="00487795">
            <w:pPr>
              <w:jc w:val="center"/>
              <w:rPr>
                <w:rFonts w:cs="Times New Roman"/>
              </w:rPr>
            </w:pPr>
            <w:r w:rsidRPr="00487795">
              <w:t xml:space="preserve">Rekomandim legjislativ për miratimin e ndryshimeve të nevojshme në Kodin e Familjes, për parandalimin e martesave të hershme dhe mbrojtjen e fëmijëve prej tyre. Shih: Rekomandimet mbi shkeljet e te drejtve te fëmijëve ne: </w:t>
            </w:r>
            <w:hyperlink r:id="rId16" w:history="1">
              <w:r w:rsidRPr="00487795">
                <w:rPr>
                  <w:rStyle w:val="Hyperlink"/>
                </w:rPr>
                <w:t>https://</w:t>
              </w:r>
              <w:r w:rsidR="00487795">
                <w:rPr>
                  <w:rStyle w:val="Hyperlink"/>
                </w:rPr>
                <w:t>ëëë</w:t>
              </w:r>
              <w:r w:rsidRPr="00487795">
                <w:rPr>
                  <w:rStyle w:val="Hyperlink"/>
                </w:rPr>
                <w:t>.avokatipopullit.gov.al/sq/articles/activities/e-drejta-e-f%C3%ABmij%C3%ABve/rekomandime-mbi-shkeljet-e-t-drejtave-themelore-t-fmijve-pr-vitin-2020-546/</w:t>
              </w:r>
            </w:hyperlink>
          </w:p>
        </w:tc>
      </w:tr>
      <w:tr w:rsidR="002E7B71" w:rsidRPr="00487795" w14:paraId="3D93AE6B" w14:textId="77777777" w:rsidTr="00323826">
        <w:trPr>
          <w:trHeight w:val="602"/>
        </w:trPr>
        <w:tc>
          <w:tcPr>
            <w:tcW w:w="2242" w:type="dxa"/>
            <w:vMerge/>
            <w:shd w:val="clear" w:color="auto" w:fill="9999FF"/>
          </w:tcPr>
          <w:p w14:paraId="219AE111" w14:textId="77777777" w:rsidR="002E7B71" w:rsidRPr="00487795" w:rsidRDefault="002E7B71" w:rsidP="00487795">
            <w:pPr>
              <w:jc w:val="center"/>
              <w:rPr>
                <w:rFonts w:cs="Times New Roman"/>
              </w:rPr>
            </w:pPr>
          </w:p>
        </w:tc>
        <w:tc>
          <w:tcPr>
            <w:tcW w:w="1263" w:type="dxa"/>
            <w:vMerge/>
            <w:shd w:val="clear" w:color="auto" w:fill="9999FF"/>
          </w:tcPr>
          <w:p w14:paraId="4DB91288" w14:textId="77777777" w:rsidR="002E7B71" w:rsidRPr="00487795" w:rsidRDefault="002E7B71" w:rsidP="00487795">
            <w:pPr>
              <w:jc w:val="both"/>
              <w:rPr>
                <w:rFonts w:cs="Times New Roman"/>
              </w:rPr>
            </w:pPr>
          </w:p>
        </w:tc>
        <w:tc>
          <w:tcPr>
            <w:tcW w:w="1643" w:type="dxa"/>
            <w:shd w:val="clear" w:color="auto" w:fill="FFF2CC" w:themeFill="accent4" w:themeFillTint="33"/>
          </w:tcPr>
          <w:p w14:paraId="6AA52F60" w14:textId="77777777" w:rsidR="008149E7" w:rsidRPr="00487795" w:rsidRDefault="008149E7" w:rsidP="00487795">
            <w:pPr>
              <w:jc w:val="center"/>
              <w:rPr>
                <w:rFonts w:cs="Times New Roman"/>
                <w:lang w:eastAsia="ja-JP"/>
              </w:rPr>
            </w:pPr>
            <w:r w:rsidRPr="00487795">
              <w:rPr>
                <w:rFonts w:cs="Times New Roman"/>
              </w:rPr>
              <w:t>Leht</w:t>
            </w:r>
            <w:r w:rsidRPr="00487795">
              <w:rPr>
                <w:rFonts w:cs="Times New Roman"/>
                <w:lang w:eastAsia="ja-JP"/>
              </w:rPr>
              <w:t>ësuese</w:t>
            </w:r>
          </w:p>
          <w:p w14:paraId="7A83FF11" w14:textId="5E175C27" w:rsidR="002E7B71" w:rsidRPr="00487795" w:rsidRDefault="008149E7" w:rsidP="00487795">
            <w:pPr>
              <w:jc w:val="center"/>
              <w:rPr>
                <w:rFonts w:cs="Times New Roman"/>
              </w:rPr>
            </w:pPr>
            <w:r w:rsidRPr="00487795">
              <w:rPr>
                <w:rFonts w:eastAsia="Times New Roman" w:cs="Times New Roman"/>
                <w:lang w:val="sq-AL" w:eastAsia="en-GB"/>
              </w:rPr>
              <w:t>Marta Bej</w:t>
            </w:r>
          </w:p>
        </w:tc>
        <w:tc>
          <w:tcPr>
            <w:tcW w:w="4297" w:type="dxa"/>
            <w:shd w:val="clear" w:color="auto" w:fill="FFF2CC" w:themeFill="accent4" w:themeFillTint="33"/>
          </w:tcPr>
          <w:p w14:paraId="34DD1E12" w14:textId="191AAB82" w:rsidR="008149E7" w:rsidRPr="00487795" w:rsidRDefault="008149E7" w:rsidP="00487795">
            <w:pPr>
              <w:rPr>
                <w:rFonts w:cs="Times New Roman"/>
              </w:rPr>
            </w:pPr>
          </w:p>
          <w:p w14:paraId="0075ADA8" w14:textId="41371BAF" w:rsidR="000E548E" w:rsidRPr="00487795" w:rsidRDefault="000E548E" w:rsidP="00487795">
            <w:pPr>
              <w:jc w:val="center"/>
              <w:rPr>
                <w:rFonts w:cs="Times New Roman"/>
              </w:rPr>
            </w:pPr>
          </w:p>
        </w:tc>
      </w:tr>
      <w:tr w:rsidR="002E7B71" w:rsidRPr="00487795" w14:paraId="6AEBD06D" w14:textId="77777777" w:rsidTr="00323826">
        <w:trPr>
          <w:trHeight w:val="593"/>
        </w:trPr>
        <w:tc>
          <w:tcPr>
            <w:tcW w:w="2242" w:type="dxa"/>
            <w:vMerge/>
            <w:shd w:val="clear" w:color="auto" w:fill="9999FF"/>
          </w:tcPr>
          <w:p w14:paraId="6597150A" w14:textId="77777777" w:rsidR="002E7B71" w:rsidRPr="00487795" w:rsidRDefault="002E7B71" w:rsidP="00487795">
            <w:pPr>
              <w:jc w:val="center"/>
              <w:rPr>
                <w:rFonts w:cs="Times New Roman"/>
              </w:rPr>
            </w:pPr>
          </w:p>
        </w:tc>
        <w:tc>
          <w:tcPr>
            <w:tcW w:w="1263" w:type="dxa"/>
            <w:vMerge/>
            <w:shd w:val="clear" w:color="auto" w:fill="9999FF"/>
          </w:tcPr>
          <w:p w14:paraId="700F0196" w14:textId="77777777" w:rsidR="002E7B71" w:rsidRPr="00487795" w:rsidRDefault="002E7B71" w:rsidP="00487795">
            <w:pPr>
              <w:jc w:val="both"/>
              <w:rPr>
                <w:rFonts w:cs="Times New Roman"/>
              </w:rPr>
            </w:pPr>
          </w:p>
        </w:tc>
        <w:tc>
          <w:tcPr>
            <w:tcW w:w="1643" w:type="dxa"/>
            <w:shd w:val="clear" w:color="auto" w:fill="E2EFD9" w:themeFill="accent6" w:themeFillTint="33"/>
          </w:tcPr>
          <w:p w14:paraId="20B5F20F" w14:textId="77777777" w:rsidR="008149E7" w:rsidRPr="00487795" w:rsidRDefault="008149E7" w:rsidP="00487795">
            <w:pPr>
              <w:jc w:val="center"/>
              <w:rPr>
                <w:rFonts w:cs="Times New Roman"/>
                <w:lang w:eastAsia="ja-JP"/>
              </w:rPr>
            </w:pPr>
            <w:r w:rsidRPr="00487795">
              <w:rPr>
                <w:rFonts w:cs="Times New Roman"/>
              </w:rPr>
              <w:t>Leht</w:t>
            </w:r>
            <w:r w:rsidRPr="00487795">
              <w:rPr>
                <w:rFonts w:cs="Times New Roman"/>
                <w:lang w:eastAsia="ja-JP"/>
              </w:rPr>
              <w:t>ësues</w:t>
            </w:r>
          </w:p>
          <w:p w14:paraId="09EAD692" w14:textId="7F13FFB0" w:rsidR="002E7B71" w:rsidRPr="00487795" w:rsidRDefault="008149E7" w:rsidP="00487795">
            <w:pPr>
              <w:jc w:val="center"/>
              <w:rPr>
                <w:rFonts w:cs="Times New Roman"/>
                <w:lang w:eastAsia="ja-JP"/>
              </w:rPr>
            </w:pPr>
            <w:r w:rsidRPr="00487795">
              <w:rPr>
                <w:rFonts w:eastAsia="Times New Roman" w:cs="Times New Roman"/>
                <w:lang w:val="sq-AL" w:eastAsia="en-GB"/>
              </w:rPr>
              <w:t>Ajkuna Anxhaku</w:t>
            </w:r>
          </w:p>
        </w:tc>
        <w:tc>
          <w:tcPr>
            <w:tcW w:w="4297" w:type="dxa"/>
            <w:shd w:val="clear" w:color="auto" w:fill="E2EFD9" w:themeFill="accent6" w:themeFillTint="33"/>
          </w:tcPr>
          <w:p w14:paraId="11364B1A" w14:textId="77777777" w:rsidR="002E7B71" w:rsidRPr="00487795" w:rsidRDefault="002E7B71" w:rsidP="00487795">
            <w:pPr>
              <w:jc w:val="center"/>
              <w:rPr>
                <w:rFonts w:cs="Times New Roman"/>
              </w:rPr>
            </w:pPr>
          </w:p>
        </w:tc>
      </w:tr>
      <w:tr w:rsidR="002E7B71" w:rsidRPr="00487795" w14:paraId="765F8D87" w14:textId="77777777" w:rsidTr="00323826">
        <w:trPr>
          <w:trHeight w:val="557"/>
        </w:trPr>
        <w:tc>
          <w:tcPr>
            <w:tcW w:w="2242" w:type="dxa"/>
            <w:vMerge/>
            <w:shd w:val="clear" w:color="auto" w:fill="9999FF"/>
          </w:tcPr>
          <w:p w14:paraId="73A7D756" w14:textId="77777777" w:rsidR="002E7B71" w:rsidRPr="00487795" w:rsidRDefault="002E7B71" w:rsidP="00487795">
            <w:pPr>
              <w:jc w:val="center"/>
              <w:rPr>
                <w:rFonts w:cs="Times New Roman"/>
              </w:rPr>
            </w:pPr>
          </w:p>
        </w:tc>
        <w:tc>
          <w:tcPr>
            <w:tcW w:w="1263" w:type="dxa"/>
            <w:vMerge w:val="restart"/>
            <w:shd w:val="clear" w:color="auto" w:fill="9999FF"/>
          </w:tcPr>
          <w:p w14:paraId="08FCF442" w14:textId="77777777" w:rsidR="002E7B71" w:rsidRPr="00487795" w:rsidRDefault="002E7B71" w:rsidP="00487795">
            <w:pPr>
              <w:jc w:val="both"/>
              <w:rPr>
                <w:rFonts w:cs="Times New Roman"/>
              </w:rPr>
            </w:pPr>
            <w:r w:rsidRPr="00487795">
              <w:rPr>
                <w:rFonts w:cs="Times New Roman"/>
              </w:rPr>
              <w:t xml:space="preserve">Vendimet që ka marrë në </w:t>
            </w:r>
            <w:r w:rsidRPr="00487795">
              <w:rPr>
                <w:rFonts w:cs="Times New Roman"/>
              </w:rPr>
              <w:lastRenderedPageBreak/>
              <w:t>analizë</w:t>
            </w:r>
          </w:p>
        </w:tc>
        <w:tc>
          <w:tcPr>
            <w:tcW w:w="1643" w:type="dxa"/>
            <w:shd w:val="clear" w:color="auto" w:fill="CCCCFF"/>
          </w:tcPr>
          <w:p w14:paraId="6B333EBF" w14:textId="77777777" w:rsidR="002E7B71" w:rsidRPr="00487795" w:rsidRDefault="002E7B71" w:rsidP="00487795">
            <w:pPr>
              <w:jc w:val="center"/>
              <w:rPr>
                <w:rFonts w:cs="Times New Roman"/>
              </w:rPr>
            </w:pPr>
            <w:r w:rsidRPr="00487795">
              <w:rPr>
                <w:rFonts w:cs="Times New Roman"/>
              </w:rPr>
              <w:lastRenderedPageBreak/>
              <w:t>Ekspert</w:t>
            </w:r>
            <w:r w:rsidR="000B5737" w:rsidRPr="00487795">
              <w:rPr>
                <w:rFonts w:cs="Times New Roman"/>
              </w:rPr>
              <w:t>e</w:t>
            </w:r>
            <w:r w:rsidRPr="00487795">
              <w:rPr>
                <w:rFonts w:cs="Times New Roman"/>
              </w:rPr>
              <w:t xml:space="preserve"> </w:t>
            </w:r>
          </w:p>
          <w:p w14:paraId="27FB1D20" w14:textId="77777777" w:rsidR="002E7B71" w:rsidRPr="00487795" w:rsidRDefault="002E7B71" w:rsidP="00487795">
            <w:pPr>
              <w:jc w:val="center"/>
              <w:rPr>
                <w:rFonts w:cs="Times New Roman"/>
              </w:rPr>
            </w:pPr>
            <w:r w:rsidRPr="00487795">
              <w:rPr>
                <w:rFonts w:eastAsia="Times New Roman" w:cs="Times New Roman"/>
                <w:u w:val="wave"/>
                <w:lang w:val="sq-AL" w:eastAsia="en-GB"/>
              </w:rPr>
              <w:t>Arta Mandro</w:t>
            </w:r>
          </w:p>
        </w:tc>
        <w:tc>
          <w:tcPr>
            <w:tcW w:w="4297" w:type="dxa"/>
            <w:shd w:val="clear" w:color="auto" w:fill="CCCCFF"/>
          </w:tcPr>
          <w:p w14:paraId="4E58C752" w14:textId="77777777" w:rsidR="00487795" w:rsidRPr="00487795" w:rsidRDefault="00487795" w:rsidP="00487795">
            <w:pPr>
              <w:jc w:val="center"/>
              <w:rPr>
                <w:rFonts w:eastAsia="Calibri"/>
                <w:bCs/>
                <w:noProof/>
              </w:rPr>
            </w:pPr>
            <w:r w:rsidRPr="00487795">
              <w:t xml:space="preserve">Vendimi </w:t>
            </w:r>
            <w:r w:rsidRPr="00487795">
              <w:rPr>
                <w:rFonts w:eastAsia="Calibri"/>
                <w:bCs/>
                <w:noProof/>
              </w:rPr>
              <w:t>Nr. 00-2021- 574/</w:t>
            </w:r>
            <w:r w:rsidRPr="00487795">
              <w:rPr>
                <w:noProof/>
              </w:rPr>
              <w:t>13.07.2021</w:t>
            </w:r>
            <w:r w:rsidRPr="00487795">
              <w:rPr>
                <w:rFonts w:eastAsia="Calibri"/>
                <w:bCs/>
                <w:noProof/>
              </w:rPr>
              <w:t xml:space="preserve"> i Gjykatës së Lartë lidhur me fejesën në moshë të mitur në komunitetin rom; </w:t>
            </w:r>
          </w:p>
          <w:p w14:paraId="2F762F8B" w14:textId="77777777" w:rsidR="00487795" w:rsidRPr="00487795" w:rsidRDefault="00487795" w:rsidP="00487795">
            <w:pPr>
              <w:jc w:val="center"/>
              <w:rPr>
                <w:color w:val="222222"/>
                <w:shd w:val="clear" w:color="auto" w:fill="FFFFFF"/>
              </w:rPr>
            </w:pPr>
            <w:r w:rsidRPr="00487795">
              <w:rPr>
                <w:rFonts w:eastAsia="Calibri"/>
                <w:bCs/>
                <w:noProof/>
              </w:rPr>
              <w:lastRenderedPageBreak/>
              <w:t>Vendimi nr.</w:t>
            </w:r>
            <w:r w:rsidRPr="00487795">
              <w:rPr>
                <w:rFonts w:eastAsia="Calibri"/>
                <w:b/>
                <w:bCs/>
                <w:noProof/>
              </w:rPr>
              <w:t xml:space="preserve"> </w:t>
            </w:r>
            <w:r w:rsidRPr="00487795">
              <w:rPr>
                <w:rFonts w:eastAsia="Calibri"/>
                <w:bCs/>
                <w:noProof/>
                <w:lang w:val="sq-AL"/>
              </w:rPr>
              <w:t>00-2023-33</w:t>
            </w:r>
            <w:r w:rsidRPr="00487795">
              <w:rPr>
                <w:rFonts w:eastAsia="Calibri"/>
                <w:b/>
                <w:bCs/>
                <w:noProof/>
                <w:lang w:val="sq-AL"/>
              </w:rPr>
              <w:t xml:space="preserve"> </w:t>
            </w:r>
            <w:r w:rsidRPr="00487795">
              <w:rPr>
                <w:color w:val="000000"/>
                <w:lang w:val="sq-AL"/>
              </w:rPr>
              <w:t>datë 17.01.2023</w:t>
            </w:r>
            <w:r w:rsidRPr="00487795">
              <w:rPr>
                <w:rFonts w:eastAsia="Calibri"/>
                <w:bCs/>
                <w:noProof/>
              </w:rPr>
              <w:t xml:space="preserve"> i Gjykatës së Lartë ku, siç nënvizohet </w:t>
            </w:r>
            <w:r w:rsidRPr="00487795">
              <w:rPr>
                <w:noProof/>
              </w:rPr>
              <w:t>n</w:t>
            </w:r>
            <w:r w:rsidRPr="00487795">
              <w:rPr>
                <w:noProof/>
                <w:lang w:val="sq-AL"/>
              </w:rPr>
              <w:t>ë rekurs, kërkuesit kanë parashtruar, ndër të tjera, pretendimin se</w:t>
            </w:r>
            <w:r w:rsidRPr="00487795">
              <w:rPr>
                <w:noProof/>
              </w:rPr>
              <w:t>:</w:t>
            </w:r>
            <w:r w:rsidRPr="00487795">
              <w:rPr>
                <w:rFonts w:eastAsia="Calibri"/>
                <w:bCs/>
                <w:noProof/>
              </w:rPr>
              <w:t xml:space="preserve"> </w:t>
            </w:r>
            <w:r w:rsidRPr="00487795">
              <w:t>“R.R për shkak dhe të burgimit të tij për më shumë se një vit, i’u prish dhe fejesa që do të kryente me ish të dashurën e tij dhe këtë fakt e ka vuajtur dhe e vuan shumë”.</w:t>
            </w:r>
          </w:p>
          <w:p w14:paraId="33C78CC5" w14:textId="640ABABD" w:rsidR="00487795" w:rsidRPr="00487795" w:rsidRDefault="00487795" w:rsidP="00487795">
            <w:pPr>
              <w:jc w:val="center"/>
              <w:rPr>
                <w:rFonts w:eastAsia="Calibri"/>
                <w:bCs/>
                <w:noProof/>
              </w:rPr>
            </w:pPr>
            <w:r w:rsidRPr="00487795">
              <w:rPr>
                <w:rFonts w:eastAsia="Calibri"/>
                <w:bCs/>
                <w:noProof/>
              </w:rPr>
              <w:t xml:space="preserve">Vendimi </w:t>
            </w:r>
            <w:r w:rsidRPr="00487795">
              <w:rPr>
                <w:rFonts w:eastAsia="Calibri"/>
                <w:bCs/>
              </w:rPr>
              <w:t>Nr. 00-2021- 1029/</w:t>
            </w:r>
            <w:r w:rsidRPr="00487795">
              <w:t>21.12.2021</w:t>
            </w:r>
            <w:r w:rsidRPr="00487795">
              <w:rPr>
                <w:rFonts w:eastAsia="Calibri"/>
                <w:b/>
                <w:bCs/>
              </w:rPr>
              <w:t xml:space="preserve"> </w:t>
            </w:r>
            <w:r w:rsidRPr="00487795">
              <w:rPr>
                <w:rFonts w:eastAsia="Calibri"/>
                <w:bCs/>
                <w:noProof/>
              </w:rPr>
              <w:t xml:space="preserve">i Gjykatës së Lartë lidhur me pasojat tragjike të ndërprerjes së fejesës; </w:t>
            </w:r>
          </w:p>
          <w:p w14:paraId="75476DB5" w14:textId="5048A074" w:rsidR="00487795" w:rsidRPr="00487795" w:rsidRDefault="00487795" w:rsidP="00487795">
            <w:pPr>
              <w:jc w:val="center"/>
              <w:rPr>
                <w:rFonts w:eastAsia="Calibri"/>
                <w:bCs/>
                <w:noProof/>
              </w:rPr>
            </w:pPr>
            <w:r w:rsidRPr="00487795">
              <w:rPr>
                <w:rFonts w:eastAsia="Calibri"/>
                <w:bCs/>
                <w:noProof/>
              </w:rPr>
              <w:t xml:space="preserve">Vendimi </w:t>
            </w:r>
            <w:r w:rsidRPr="00487795">
              <w:rPr>
                <w:rFonts w:eastAsia="Calibri"/>
                <w:bCs/>
              </w:rPr>
              <w:t xml:space="preserve">Nr. </w:t>
            </w:r>
            <w:r w:rsidRPr="00487795">
              <w:rPr>
                <w:rFonts w:eastAsia="Calibri"/>
                <w:bCs/>
                <w:noProof/>
              </w:rPr>
              <w:t>00-2022-  2</w:t>
            </w:r>
            <w:r w:rsidRPr="00487795">
              <w:rPr>
                <w:rFonts w:eastAsia="Calibri"/>
                <w:b/>
                <w:bCs/>
                <w:noProof/>
              </w:rPr>
              <w:t xml:space="preserve"> </w:t>
            </w:r>
            <w:r w:rsidRPr="00487795">
              <w:rPr>
                <w:rFonts w:eastAsia="Calibri"/>
                <w:bCs/>
              </w:rPr>
              <w:t>/</w:t>
            </w:r>
            <w:r w:rsidRPr="00487795">
              <w:t>14.01.2022,</w:t>
            </w:r>
            <w:r w:rsidRPr="00487795">
              <w:rPr>
                <w:rFonts w:eastAsia="Calibri"/>
                <w:b/>
                <w:bCs/>
              </w:rPr>
              <w:t xml:space="preserve"> </w:t>
            </w:r>
            <w:r w:rsidRPr="00487795">
              <w:rPr>
                <w:rFonts w:eastAsia="Calibri"/>
                <w:bCs/>
                <w:noProof/>
              </w:rPr>
              <w:t>i Gjykatës së Lartë lidhur me pasojat tragjike të mos pranimit të kërkesës për fejesë nën moshë.</w:t>
            </w:r>
          </w:p>
          <w:p w14:paraId="60412994" w14:textId="77777777" w:rsidR="00487795" w:rsidRPr="00487795" w:rsidRDefault="00487795" w:rsidP="00487795">
            <w:pPr>
              <w:pStyle w:val="FootnoteText"/>
              <w:jc w:val="both"/>
              <w:rPr>
                <w:sz w:val="22"/>
                <w:szCs w:val="22"/>
                <w:lang w:val="bg-BG"/>
              </w:rPr>
            </w:pPr>
            <w:r w:rsidRPr="00487795">
              <w:rPr>
                <w:sz w:val="22"/>
                <w:szCs w:val="22"/>
              </w:rPr>
              <w:t xml:space="preserve">Vendimi për lëshimin e UMM </w:t>
            </w:r>
            <w:r w:rsidRPr="00487795">
              <w:rPr>
                <w:bCs/>
                <w:sz w:val="22"/>
                <w:szCs w:val="22"/>
              </w:rPr>
              <w:t xml:space="preserve">Nr.   21036-00887-12-2021  (887) Rregj.Datë 18.12.2021 i </w:t>
            </w:r>
            <w:r w:rsidRPr="00487795">
              <w:rPr>
                <w:sz w:val="22"/>
                <w:szCs w:val="22"/>
              </w:rPr>
              <w:t>Gjykatës së  Rrethit Gjyqёsor  Kavajë.</w:t>
            </w:r>
          </w:p>
          <w:p w14:paraId="4540C137" w14:textId="77777777" w:rsidR="00487795" w:rsidRPr="00487795" w:rsidRDefault="00487795" w:rsidP="00487795">
            <w:pPr>
              <w:jc w:val="center"/>
              <w:rPr>
                <w:color w:val="222222"/>
                <w:shd w:val="clear" w:color="auto" w:fill="FFFFFF"/>
              </w:rPr>
            </w:pPr>
          </w:p>
          <w:p w14:paraId="6799124A" w14:textId="4CE02784" w:rsidR="00487795" w:rsidRPr="00487795" w:rsidRDefault="00487795" w:rsidP="00487795">
            <w:pPr>
              <w:jc w:val="center"/>
              <w:rPr>
                <w:rFonts w:cs="Times New Roman"/>
              </w:rPr>
            </w:pPr>
          </w:p>
        </w:tc>
      </w:tr>
      <w:tr w:rsidR="002E7B71" w:rsidRPr="00487795" w14:paraId="7C13D990" w14:textId="77777777" w:rsidTr="00323826">
        <w:trPr>
          <w:trHeight w:val="548"/>
        </w:trPr>
        <w:tc>
          <w:tcPr>
            <w:tcW w:w="2242" w:type="dxa"/>
            <w:vMerge/>
            <w:shd w:val="clear" w:color="auto" w:fill="9999FF"/>
          </w:tcPr>
          <w:p w14:paraId="4AC55C6B" w14:textId="3EE382DC" w:rsidR="002E7B71" w:rsidRPr="00487795" w:rsidRDefault="002E7B71" w:rsidP="00487795">
            <w:pPr>
              <w:jc w:val="center"/>
              <w:rPr>
                <w:rFonts w:cs="Times New Roman"/>
              </w:rPr>
            </w:pPr>
          </w:p>
        </w:tc>
        <w:tc>
          <w:tcPr>
            <w:tcW w:w="1263" w:type="dxa"/>
            <w:vMerge/>
            <w:shd w:val="clear" w:color="auto" w:fill="9999FF"/>
          </w:tcPr>
          <w:p w14:paraId="10774FC3" w14:textId="77777777" w:rsidR="002E7B71" w:rsidRPr="00487795" w:rsidRDefault="002E7B71" w:rsidP="00487795">
            <w:pPr>
              <w:jc w:val="center"/>
              <w:rPr>
                <w:rFonts w:cs="Times New Roman"/>
              </w:rPr>
            </w:pPr>
          </w:p>
        </w:tc>
        <w:tc>
          <w:tcPr>
            <w:tcW w:w="1643" w:type="dxa"/>
            <w:shd w:val="clear" w:color="auto" w:fill="FFF2CC" w:themeFill="accent4" w:themeFillTint="33"/>
          </w:tcPr>
          <w:p w14:paraId="4C3BABFA" w14:textId="77777777" w:rsidR="002E7B71" w:rsidRPr="00487795" w:rsidRDefault="002E7B71" w:rsidP="00487795">
            <w:pPr>
              <w:jc w:val="center"/>
              <w:rPr>
                <w:rFonts w:cs="Times New Roman"/>
              </w:rPr>
            </w:pPr>
            <w:r w:rsidRPr="00487795">
              <w:rPr>
                <w:rFonts w:cs="Times New Roman"/>
              </w:rPr>
              <w:t xml:space="preserve">Ekspert </w:t>
            </w:r>
          </w:p>
          <w:p w14:paraId="2841823E" w14:textId="48249580" w:rsidR="002E7B71" w:rsidRPr="00487795" w:rsidRDefault="002037E7" w:rsidP="00487795">
            <w:pPr>
              <w:jc w:val="center"/>
              <w:rPr>
                <w:rFonts w:cs="Times New Roman"/>
              </w:rPr>
            </w:pPr>
            <w:r w:rsidRPr="00487795">
              <w:rPr>
                <w:rFonts w:eastAsia="Times New Roman" w:cs="Times New Roman"/>
                <w:lang w:val="sq-AL" w:eastAsia="en-GB"/>
              </w:rPr>
              <w:t>Marta Bej</w:t>
            </w:r>
          </w:p>
        </w:tc>
        <w:tc>
          <w:tcPr>
            <w:tcW w:w="4297" w:type="dxa"/>
            <w:shd w:val="clear" w:color="auto" w:fill="FFF2CC" w:themeFill="accent4" w:themeFillTint="33"/>
          </w:tcPr>
          <w:p w14:paraId="3323B642" w14:textId="3D4505C3" w:rsidR="0087224E" w:rsidRPr="00487795" w:rsidRDefault="0087224E" w:rsidP="00487795">
            <w:pPr>
              <w:jc w:val="center"/>
              <w:rPr>
                <w:rFonts w:cs="Times New Roman"/>
              </w:rPr>
            </w:pPr>
          </w:p>
        </w:tc>
      </w:tr>
      <w:tr w:rsidR="002E7B71" w:rsidRPr="00487795" w14:paraId="3F83CB06" w14:textId="77777777" w:rsidTr="00323826">
        <w:trPr>
          <w:trHeight w:val="602"/>
        </w:trPr>
        <w:tc>
          <w:tcPr>
            <w:tcW w:w="2242" w:type="dxa"/>
            <w:vMerge/>
            <w:shd w:val="clear" w:color="auto" w:fill="9999FF"/>
          </w:tcPr>
          <w:p w14:paraId="208E767B" w14:textId="77777777" w:rsidR="002E7B71" w:rsidRPr="00487795" w:rsidRDefault="002E7B71" w:rsidP="00487795">
            <w:pPr>
              <w:jc w:val="center"/>
              <w:rPr>
                <w:rFonts w:cs="Times New Roman"/>
              </w:rPr>
            </w:pPr>
          </w:p>
        </w:tc>
        <w:tc>
          <w:tcPr>
            <w:tcW w:w="1263" w:type="dxa"/>
            <w:vMerge/>
            <w:shd w:val="clear" w:color="auto" w:fill="9999FF"/>
          </w:tcPr>
          <w:p w14:paraId="14640841" w14:textId="77777777" w:rsidR="002E7B71" w:rsidRPr="00487795" w:rsidRDefault="002E7B71" w:rsidP="00487795">
            <w:pPr>
              <w:jc w:val="center"/>
              <w:rPr>
                <w:rFonts w:cs="Times New Roman"/>
              </w:rPr>
            </w:pPr>
          </w:p>
        </w:tc>
        <w:tc>
          <w:tcPr>
            <w:tcW w:w="1643" w:type="dxa"/>
            <w:shd w:val="clear" w:color="auto" w:fill="E2EFD9" w:themeFill="accent6" w:themeFillTint="33"/>
          </w:tcPr>
          <w:p w14:paraId="5C9D6899" w14:textId="77777777" w:rsidR="002E7B71" w:rsidRPr="00487795" w:rsidRDefault="002E7B71" w:rsidP="00487795">
            <w:pPr>
              <w:jc w:val="center"/>
              <w:rPr>
                <w:rFonts w:cs="Times New Roman"/>
                <w:lang w:eastAsia="ja-JP"/>
              </w:rPr>
            </w:pPr>
            <w:r w:rsidRPr="00487795">
              <w:rPr>
                <w:rFonts w:cs="Times New Roman"/>
              </w:rPr>
              <w:t>Leht</w:t>
            </w:r>
            <w:r w:rsidRPr="00487795">
              <w:rPr>
                <w:rFonts w:cs="Times New Roman"/>
                <w:lang w:eastAsia="ja-JP"/>
              </w:rPr>
              <w:t>ësues</w:t>
            </w:r>
            <w:r w:rsidR="000B5737" w:rsidRPr="00487795">
              <w:rPr>
                <w:rFonts w:cs="Times New Roman"/>
                <w:lang w:eastAsia="ja-JP"/>
              </w:rPr>
              <w:t>e</w:t>
            </w:r>
          </w:p>
          <w:p w14:paraId="1DC29E42" w14:textId="48BA3F78" w:rsidR="002E7B71" w:rsidRPr="00487795" w:rsidRDefault="002037E7" w:rsidP="00487795">
            <w:pPr>
              <w:jc w:val="center"/>
              <w:rPr>
                <w:rFonts w:cs="Times New Roman"/>
                <w:lang w:eastAsia="ja-JP"/>
              </w:rPr>
            </w:pPr>
            <w:r w:rsidRPr="00487795">
              <w:rPr>
                <w:rFonts w:eastAsia="Times New Roman" w:cs="Times New Roman"/>
                <w:lang w:val="sq-AL" w:eastAsia="en-GB"/>
              </w:rPr>
              <w:t>Ajkuna Anxhaku</w:t>
            </w:r>
          </w:p>
        </w:tc>
        <w:tc>
          <w:tcPr>
            <w:tcW w:w="4297" w:type="dxa"/>
            <w:shd w:val="clear" w:color="auto" w:fill="E2EFD9" w:themeFill="accent6" w:themeFillTint="33"/>
          </w:tcPr>
          <w:p w14:paraId="4E3E1A4D" w14:textId="77777777" w:rsidR="002E7B71" w:rsidRPr="00487795" w:rsidRDefault="002E7B71" w:rsidP="00487795">
            <w:pPr>
              <w:jc w:val="center"/>
              <w:rPr>
                <w:rFonts w:cs="Times New Roman"/>
              </w:rPr>
            </w:pPr>
          </w:p>
        </w:tc>
      </w:tr>
    </w:tbl>
    <w:p w14:paraId="3E1070DC" w14:textId="77777777" w:rsidR="00B84968" w:rsidRPr="00487795" w:rsidRDefault="00B84968" w:rsidP="00487795">
      <w:pPr>
        <w:spacing w:line="240" w:lineRule="auto"/>
        <w:rPr>
          <w:rFonts w:cs="Times New Roman"/>
        </w:rPr>
      </w:pPr>
    </w:p>
    <w:p w14:paraId="17C66CEF" w14:textId="77777777" w:rsidR="00A31582" w:rsidRPr="00487795" w:rsidRDefault="00A31582" w:rsidP="00487795">
      <w:pPr>
        <w:spacing w:line="240" w:lineRule="auto"/>
        <w:rPr>
          <w:rFonts w:cs="Times New Roman"/>
        </w:rPr>
      </w:pPr>
    </w:p>
    <w:p w14:paraId="324DCB77" w14:textId="501EC767" w:rsidR="00631A50" w:rsidRPr="00487795" w:rsidRDefault="00631A50" w:rsidP="00487795">
      <w:pPr>
        <w:spacing w:line="240" w:lineRule="auto"/>
        <w:rPr>
          <w:rFonts w:eastAsia="Times New Roman" w:cs="Times New Roman"/>
          <w:u w:val="wave"/>
          <w:lang w:val="sq-AL" w:eastAsia="en-GB"/>
        </w:rPr>
      </w:pPr>
      <w:r w:rsidRPr="00487795">
        <w:rPr>
          <w:rFonts w:cs="Times New Roman"/>
        </w:rPr>
        <w:t>Ekspert</w:t>
      </w:r>
      <w:r w:rsidR="00240A86" w:rsidRPr="00487795">
        <w:rPr>
          <w:rFonts w:cs="Times New Roman"/>
        </w:rPr>
        <w:t>e</w:t>
      </w:r>
      <w:r w:rsidR="00900D85" w:rsidRPr="00487795">
        <w:rPr>
          <w:rFonts w:cs="Times New Roman"/>
        </w:rPr>
        <w:t xml:space="preserve">, </w:t>
      </w:r>
      <w:r w:rsidR="005C7B88" w:rsidRPr="00487795">
        <w:rPr>
          <w:rFonts w:cs="Times New Roman"/>
        </w:rPr>
        <w:t>z</w:t>
      </w:r>
      <w:r w:rsidR="002E7B71" w:rsidRPr="00487795">
        <w:rPr>
          <w:rFonts w:cs="Times New Roman"/>
        </w:rPr>
        <w:t>nj</w:t>
      </w:r>
      <w:r w:rsidRPr="00487795">
        <w:rPr>
          <w:rFonts w:cs="Times New Roman"/>
        </w:rPr>
        <w:t xml:space="preserve">. </w:t>
      </w:r>
      <w:r w:rsidR="002E7B71" w:rsidRPr="00487795">
        <w:rPr>
          <w:rFonts w:eastAsia="Times New Roman" w:cs="Times New Roman"/>
          <w:u w:val="wave"/>
          <w:lang w:val="sq-AL" w:eastAsia="en-GB"/>
        </w:rPr>
        <w:t>Arta Mandro</w:t>
      </w:r>
      <w:r w:rsidR="00900D85" w:rsidRPr="00487795">
        <w:rPr>
          <w:rFonts w:cs="Times New Roman"/>
        </w:rPr>
        <w:t xml:space="preserve">                 </w:t>
      </w:r>
      <w:r w:rsidR="00325369" w:rsidRPr="00487795">
        <w:rPr>
          <w:rFonts w:cs="Times New Roman"/>
        </w:rPr>
        <w:t xml:space="preserve">            </w:t>
      </w:r>
      <w:r w:rsidR="00EF293E" w:rsidRPr="00487795">
        <w:rPr>
          <w:rFonts w:cs="Times New Roman"/>
        </w:rPr>
        <w:t xml:space="preserve">     </w:t>
      </w:r>
      <w:r w:rsidR="0053522A" w:rsidRPr="00487795">
        <w:rPr>
          <w:rFonts w:cs="Times New Roman"/>
        </w:rPr>
        <w:t xml:space="preserve">  </w:t>
      </w:r>
      <w:r w:rsidR="00D9675B" w:rsidRPr="00487795">
        <w:rPr>
          <w:rFonts w:cs="Times New Roman"/>
        </w:rPr>
        <w:t xml:space="preserve">        </w:t>
      </w:r>
      <w:r w:rsidR="008149E7" w:rsidRPr="00487795">
        <w:rPr>
          <w:rFonts w:cs="Times New Roman"/>
        </w:rPr>
        <w:t xml:space="preserve">        </w:t>
      </w:r>
      <w:r w:rsidR="00900D85" w:rsidRPr="00487795">
        <w:rPr>
          <w:rFonts w:cs="Times New Roman"/>
        </w:rPr>
        <w:t>(firma) ____________</w:t>
      </w:r>
    </w:p>
    <w:p w14:paraId="6D83685F" w14:textId="71990016" w:rsidR="00900D85" w:rsidRPr="00487795" w:rsidRDefault="008149E7" w:rsidP="00487795">
      <w:pPr>
        <w:spacing w:line="240" w:lineRule="auto"/>
        <w:rPr>
          <w:rFonts w:cs="Times New Roman"/>
          <w:u w:val="wave"/>
          <w:lang w:val="sq-AL"/>
        </w:rPr>
      </w:pPr>
      <w:r w:rsidRPr="00487795">
        <w:rPr>
          <w:rFonts w:cs="Times New Roman"/>
        </w:rPr>
        <w:t>Leht</w:t>
      </w:r>
      <w:r w:rsidR="00487795">
        <w:rPr>
          <w:rFonts w:cs="Times New Roman"/>
        </w:rPr>
        <w:t>ë</w:t>
      </w:r>
      <w:r w:rsidRPr="00487795">
        <w:rPr>
          <w:rFonts w:cs="Times New Roman"/>
        </w:rPr>
        <w:t>sues</w:t>
      </w:r>
      <w:r w:rsidR="00EF293E" w:rsidRPr="00487795">
        <w:rPr>
          <w:rFonts w:cs="Times New Roman"/>
        </w:rPr>
        <w:t xml:space="preserve">, </w:t>
      </w:r>
      <w:r w:rsidRPr="00487795">
        <w:rPr>
          <w:rFonts w:cs="Times New Roman"/>
        </w:rPr>
        <w:t>Znj. Marta Bej</w:t>
      </w:r>
      <w:r w:rsidR="00486940" w:rsidRPr="00487795">
        <w:rPr>
          <w:rFonts w:cs="Times New Roman"/>
          <w:lang w:val="sq-AL"/>
        </w:rPr>
        <w:tab/>
      </w:r>
      <w:r w:rsidR="002037E7" w:rsidRPr="00487795">
        <w:rPr>
          <w:rFonts w:cs="Times New Roman"/>
          <w:lang w:val="sq-AL"/>
        </w:rPr>
        <w:tab/>
      </w:r>
      <w:r w:rsidR="002037E7" w:rsidRPr="00487795">
        <w:rPr>
          <w:rFonts w:cs="Times New Roman"/>
          <w:lang w:val="sq-AL"/>
        </w:rPr>
        <w:tab/>
      </w:r>
      <w:r w:rsidR="002037E7" w:rsidRPr="00487795">
        <w:rPr>
          <w:rFonts w:cs="Times New Roman"/>
          <w:lang w:val="sq-AL"/>
        </w:rPr>
        <w:tab/>
      </w:r>
      <w:r w:rsidR="00900D85" w:rsidRPr="00487795">
        <w:rPr>
          <w:rFonts w:cs="Times New Roman"/>
        </w:rPr>
        <w:t>(firma) ____________</w:t>
      </w:r>
    </w:p>
    <w:p w14:paraId="6548040A" w14:textId="7E4321CB" w:rsidR="0065639C" w:rsidRPr="00487795" w:rsidRDefault="003E2D72" w:rsidP="00487795">
      <w:pPr>
        <w:spacing w:line="240" w:lineRule="auto"/>
        <w:rPr>
          <w:rFonts w:cs="Times New Roman"/>
        </w:rPr>
      </w:pPr>
      <w:r w:rsidRPr="00487795">
        <w:rPr>
          <w:rFonts w:cs="Times New Roman"/>
        </w:rPr>
        <w:t>Lehtësues</w:t>
      </w:r>
      <w:r w:rsidR="00240A86" w:rsidRPr="00487795">
        <w:rPr>
          <w:rFonts w:cs="Times New Roman"/>
        </w:rPr>
        <w:t>e</w:t>
      </w:r>
      <w:r w:rsidR="00EF293E" w:rsidRPr="00487795">
        <w:rPr>
          <w:rFonts w:cs="Times New Roman"/>
        </w:rPr>
        <w:t xml:space="preserve">, </w:t>
      </w:r>
      <w:r w:rsidR="00FE481C" w:rsidRPr="00487795">
        <w:rPr>
          <w:rFonts w:cs="Times New Roman"/>
        </w:rPr>
        <w:t>z</w:t>
      </w:r>
      <w:r w:rsidR="002E7B71" w:rsidRPr="00487795">
        <w:rPr>
          <w:rFonts w:cs="Times New Roman"/>
        </w:rPr>
        <w:t>nj</w:t>
      </w:r>
      <w:r w:rsidR="00900D85" w:rsidRPr="00487795">
        <w:rPr>
          <w:rFonts w:cs="Times New Roman"/>
        </w:rPr>
        <w:t xml:space="preserve">. </w:t>
      </w:r>
      <w:r w:rsidR="008149E7" w:rsidRPr="00487795">
        <w:rPr>
          <w:rFonts w:eastAsia="Times New Roman" w:cs="Times New Roman"/>
          <w:lang w:val="sq-AL" w:eastAsia="en-GB"/>
        </w:rPr>
        <w:t xml:space="preserve">Ajkuna Anxhaku </w:t>
      </w:r>
      <w:r w:rsidR="00900D85" w:rsidRPr="00487795">
        <w:rPr>
          <w:rFonts w:cs="Times New Roman"/>
        </w:rPr>
        <w:t xml:space="preserve">                     </w:t>
      </w:r>
      <w:r w:rsidR="00D043D9" w:rsidRPr="00487795">
        <w:rPr>
          <w:rFonts w:cs="Times New Roman"/>
        </w:rPr>
        <w:t xml:space="preserve">               </w:t>
      </w:r>
      <w:r w:rsidR="00325369" w:rsidRPr="00487795">
        <w:rPr>
          <w:rFonts w:cs="Times New Roman"/>
        </w:rPr>
        <w:t xml:space="preserve">  </w:t>
      </w:r>
      <w:r w:rsidR="00D043D9" w:rsidRPr="00487795">
        <w:rPr>
          <w:rFonts w:cs="Times New Roman"/>
        </w:rPr>
        <w:t xml:space="preserve"> </w:t>
      </w:r>
      <w:r w:rsidR="00EF293E" w:rsidRPr="00487795">
        <w:rPr>
          <w:rFonts w:cs="Times New Roman"/>
        </w:rPr>
        <w:t xml:space="preserve">   </w:t>
      </w:r>
      <w:r w:rsidR="00177B36" w:rsidRPr="00487795">
        <w:rPr>
          <w:rFonts w:cs="Times New Roman"/>
        </w:rPr>
        <w:t xml:space="preserve"> </w:t>
      </w:r>
      <w:r w:rsidR="00900D85" w:rsidRPr="00487795">
        <w:rPr>
          <w:rFonts w:cs="Times New Roman"/>
        </w:rPr>
        <w:t>(firma) ____________</w:t>
      </w:r>
    </w:p>
    <w:sectPr w:rsidR="0065639C" w:rsidRPr="00487795" w:rsidSect="00656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8890" w14:textId="77777777" w:rsidR="007F0C4D" w:rsidRDefault="007F0C4D" w:rsidP="009634CD">
      <w:pPr>
        <w:spacing w:after="0" w:line="240" w:lineRule="auto"/>
      </w:pPr>
      <w:r>
        <w:separator/>
      </w:r>
    </w:p>
  </w:endnote>
  <w:endnote w:type="continuationSeparator" w:id="0">
    <w:p w14:paraId="7426DB18" w14:textId="77777777" w:rsidR="007F0C4D" w:rsidRDefault="007F0C4D" w:rsidP="0096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Times">
    <w:panose1 w:val="0202060306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8C55" w14:textId="77777777" w:rsidR="007F0C4D" w:rsidRDefault="007F0C4D" w:rsidP="009634CD">
      <w:pPr>
        <w:spacing w:after="0" w:line="240" w:lineRule="auto"/>
      </w:pPr>
      <w:r>
        <w:separator/>
      </w:r>
    </w:p>
  </w:footnote>
  <w:footnote w:type="continuationSeparator" w:id="0">
    <w:p w14:paraId="07B51920" w14:textId="77777777" w:rsidR="007F0C4D" w:rsidRDefault="007F0C4D" w:rsidP="009634CD">
      <w:pPr>
        <w:spacing w:after="0" w:line="240" w:lineRule="auto"/>
      </w:pPr>
      <w:r>
        <w:continuationSeparator/>
      </w:r>
    </w:p>
  </w:footnote>
  <w:footnote w:id="1">
    <w:p w14:paraId="483866DE" w14:textId="77777777" w:rsidR="002037E7" w:rsidRDefault="002037E7" w:rsidP="0065639C">
      <w:pPr>
        <w:pStyle w:val="FootnoteText"/>
        <w:jc w:val="both"/>
      </w:pPr>
      <w:r>
        <w:rPr>
          <w:rStyle w:val="FootnoteReference"/>
        </w:rPr>
        <w:footnoteRef/>
      </w:r>
      <w:r>
        <w:t xml:space="preserve"> Kjo matricë do të plotësohet bashkërisht nga paneli i aktivitetit trajnues, përpara zhvillimit të aktivitetit, dhe ka për qëllim të ofrojë një pasqyrë të qartë të çështjeve që do të trajtohen dhe objektivave, kompetencave dhe aftësive që synohet të përcillen në këtë aktivitet. Matrica do tiu dërgohet paraprakisht pjesëmarësve të konfirmuar në trajnim, së bashku me materialet e trajnimit, agjendën dhe ushtrimet/rastet praktike;</w:t>
      </w:r>
    </w:p>
  </w:footnote>
  <w:footnote w:id="2">
    <w:p w14:paraId="36CF1CD4" w14:textId="77777777" w:rsidR="002037E7" w:rsidRDefault="002037E7" w:rsidP="0065639C">
      <w:pPr>
        <w:pStyle w:val="FootnoteText"/>
        <w:jc w:val="both"/>
      </w:pPr>
      <w:r>
        <w:rPr>
          <w:rStyle w:val="FootnoteReference"/>
        </w:rPr>
        <w:footnoteRef/>
      </w:r>
      <w:r>
        <w:t xml:space="preserve"> Ekspertët dhe lehtësuesi përcaktojnë objektivin kryesor të trajnimit në tërësi dhe nëse për pjesën e tij të ekspertizës ka një objektiv kryesor më specifik, duhet të përcaktojë edhe atë objektiv;</w:t>
      </w:r>
    </w:p>
  </w:footnote>
  <w:footnote w:id="3">
    <w:p w14:paraId="4291C41C" w14:textId="77777777" w:rsidR="002037E7" w:rsidRDefault="002037E7" w:rsidP="0065639C">
      <w:pPr>
        <w:pStyle w:val="FootnoteText"/>
        <w:jc w:val="both"/>
      </w:pPr>
      <w:r>
        <w:rPr>
          <w:rStyle w:val="FootnoteReference"/>
        </w:rPr>
        <w:footnoteRef/>
      </w:r>
      <w:r>
        <w:t xml:space="preserve"> Eksperti ndan në çështje temën që do të trajtojë;</w:t>
      </w:r>
    </w:p>
  </w:footnote>
  <w:footnote w:id="4">
    <w:p w14:paraId="6D1D50DE" w14:textId="77777777" w:rsidR="002037E7" w:rsidRDefault="002037E7" w:rsidP="0065639C">
      <w:pPr>
        <w:pStyle w:val="FootnoteText"/>
        <w:jc w:val="both"/>
      </w:pPr>
      <w:r>
        <w:rPr>
          <w:rStyle w:val="FootnoteReference"/>
        </w:rPr>
        <w:footnoteRef/>
      </w:r>
      <w:r>
        <w:t xml:space="preserve"> E</w:t>
      </w:r>
      <w:r w:rsidRPr="0065639C">
        <w:t>ksperti pë</w:t>
      </w:r>
      <w:r>
        <w:t>rcakton</w:t>
      </w:r>
      <w:r w:rsidRPr="0065639C">
        <w:t xml:space="preserve"> paraprakisht pyetjet kryesore që do të synohet tiu jepet përgjigje gjatë trajtimit të</w:t>
      </w:r>
      <w:r>
        <w:t xml:space="preserve"> ç</w:t>
      </w:r>
      <w:r w:rsidRPr="0065639C">
        <w:t>ështjeve</w:t>
      </w:r>
      <w:r>
        <w:t>;</w:t>
      </w:r>
    </w:p>
  </w:footnote>
  <w:footnote w:id="5">
    <w:p w14:paraId="18B447AB" w14:textId="77777777" w:rsidR="002037E7" w:rsidRDefault="002037E7" w:rsidP="0065639C">
      <w:pPr>
        <w:pStyle w:val="FootnoteText"/>
        <w:jc w:val="both"/>
      </w:pPr>
      <w:r>
        <w:rPr>
          <w:rStyle w:val="FootnoteReference"/>
        </w:rPr>
        <w:footnoteRef/>
      </w:r>
      <w:r>
        <w:t xml:space="preserve"> Ekspertët dhe lehtësuesi </w:t>
      </w:r>
      <w:r w:rsidRPr="0065639C">
        <w:t>pë</w:t>
      </w:r>
      <w:r>
        <w:t>rcaktojnë</w:t>
      </w:r>
      <w:r w:rsidRPr="0065639C">
        <w:t xml:space="preserve"> kohën që i duhet në dispozicion për trajtimin e secilës çështje, sipas kolonë</w:t>
      </w:r>
      <w:r>
        <w:t>s 2, metodologjinë</w:t>
      </w:r>
      <w:r w:rsidRPr="0065639C">
        <w:t xml:space="preserve"> që do të përdorë për trajtimin e tyre</w:t>
      </w:r>
      <w:r>
        <w:t xml:space="preserve"> dhe ushtrimet, rastet që do të përdorë;</w:t>
      </w:r>
    </w:p>
  </w:footnote>
  <w:footnote w:id="6">
    <w:p w14:paraId="572E17B4" w14:textId="77777777" w:rsidR="002037E7" w:rsidRDefault="002037E7" w:rsidP="0065639C">
      <w:pPr>
        <w:pStyle w:val="FootnoteText"/>
        <w:jc w:val="both"/>
      </w:pPr>
      <w:r>
        <w:rPr>
          <w:rStyle w:val="FootnoteReference"/>
        </w:rPr>
        <w:footnoteRef/>
      </w:r>
      <w:r>
        <w:t xml:space="preserve"> Eksperti harton</w:t>
      </w:r>
      <w:r w:rsidRPr="0065639C">
        <w:t xml:space="preserve"> paraprakisht disa ushtrime të shkurtra praktike për të kuptuar reagimin dhe njohuritë e pjesëmarrësve ndaj cështjeve që do të trajtojë dhe ushtrime të shkurtra për të kuptuar se sa pjesëmarrësit kanë arritur të përvetësojnë njohuritë/aftësitë e dhëna në trajnim, pra ushtrimet dhe rastet praktike duhet të jepen në dy momente të ndryshme gjatë zhvillimit të trajnimit</w:t>
      </w:r>
      <w:r>
        <w:t>;</w:t>
      </w:r>
    </w:p>
  </w:footnote>
  <w:footnote w:id="7">
    <w:p w14:paraId="1E503127" w14:textId="0251C15D" w:rsidR="002037E7" w:rsidRDefault="002037E7" w:rsidP="0065639C">
      <w:pPr>
        <w:pStyle w:val="FootnoteText"/>
        <w:jc w:val="both"/>
      </w:pPr>
      <w:r>
        <w:rPr>
          <w:rStyle w:val="FootnoteReference"/>
        </w:rPr>
        <w:footnoteRef/>
      </w:r>
      <w:r>
        <w:t xml:space="preserve"> Eksperti duhet të dorëzojë paraprakisht materialin e përgatitur prej tij, në format leksioni, shoqëruar ose jo me po</w:t>
      </w:r>
      <w:r w:rsidR="00487795">
        <w:t>ë</w:t>
      </w:r>
      <w:r>
        <w:t>er point, grafika, etj, si dhe duhet të bëjë të ditur literaturën në të cilën është mbështetur dhe vendimet gjyqësore që ka marrë në analizë. Këto materiale i bashkëlidhen matrices së plotësuar.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F85"/>
    <w:multiLevelType w:val="hybridMultilevel"/>
    <w:tmpl w:val="03BEF9CE"/>
    <w:lvl w:ilvl="0" w:tplc="0D747AAE">
      <w:start w:val="15"/>
      <w:numFmt w:val="bullet"/>
      <w:lvlText w:val="-"/>
      <w:lvlJc w:val="left"/>
      <w:pPr>
        <w:ind w:left="720" w:hanging="360"/>
      </w:pPr>
      <w:rPr>
        <w:rFonts w:ascii="Times New Roman" w:eastAsia="MS Mincho"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F0FF9"/>
    <w:multiLevelType w:val="hybridMultilevel"/>
    <w:tmpl w:val="0DD0249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3B3818B8"/>
    <w:multiLevelType w:val="hybridMultilevel"/>
    <w:tmpl w:val="C7046378"/>
    <w:lvl w:ilvl="0" w:tplc="0D747AAE">
      <w:start w:val="15"/>
      <w:numFmt w:val="bullet"/>
      <w:lvlText w:val="-"/>
      <w:lvlJc w:val="left"/>
      <w:pPr>
        <w:ind w:left="720" w:hanging="360"/>
      </w:pPr>
      <w:rPr>
        <w:rFonts w:ascii="Times New Roman" w:eastAsia="MS Mincho"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73764"/>
    <w:multiLevelType w:val="hybridMultilevel"/>
    <w:tmpl w:val="7A161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B0A87"/>
    <w:multiLevelType w:val="hybridMultilevel"/>
    <w:tmpl w:val="E6026428"/>
    <w:lvl w:ilvl="0" w:tplc="0512CD70">
      <w:start w:val="15"/>
      <w:numFmt w:val="bullet"/>
      <w:lvlText w:val="-"/>
      <w:lvlJc w:val="left"/>
      <w:pPr>
        <w:ind w:left="720" w:hanging="360"/>
      </w:pPr>
      <w:rPr>
        <w:rFonts w:ascii="Times New Roman" w:eastAsia="MS Mincho"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A1"/>
    <w:rsid w:val="000045AC"/>
    <w:rsid w:val="000050C2"/>
    <w:rsid w:val="00067A5B"/>
    <w:rsid w:val="000A18AA"/>
    <w:rsid w:val="000B5737"/>
    <w:rsid w:val="000E548E"/>
    <w:rsid w:val="000F441C"/>
    <w:rsid w:val="00177B36"/>
    <w:rsid w:val="001E0F90"/>
    <w:rsid w:val="002037E7"/>
    <w:rsid w:val="00214027"/>
    <w:rsid w:val="002331BB"/>
    <w:rsid w:val="00240A86"/>
    <w:rsid w:val="00293EC3"/>
    <w:rsid w:val="002B4786"/>
    <w:rsid w:val="002B6F3F"/>
    <w:rsid w:val="002B734F"/>
    <w:rsid w:val="002C59A0"/>
    <w:rsid w:val="002E7B71"/>
    <w:rsid w:val="00316A3A"/>
    <w:rsid w:val="00323826"/>
    <w:rsid w:val="00325369"/>
    <w:rsid w:val="0035653E"/>
    <w:rsid w:val="0036437D"/>
    <w:rsid w:val="00374075"/>
    <w:rsid w:val="00396737"/>
    <w:rsid w:val="003E2D72"/>
    <w:rsid w:val="004716E6"/>
    <w:rsid w:val="00486940"/>
    <w:rsid w:val="00487795"/>
    <w:rsid w:val="004E5EBA"/>
    <w:rsid w:val="004F73C2"/>
    <w:rsid w:val="0050418B"/>
    <w:rsid w:val="00521686"/>
    <w:rsid w:val="0053522A"/>
    <w:rsid w:val="005A2A4C"/>
    <w:rsid w:val="005C7B88"/>
    <w:rsid w:val="005E6BE7"/>
    <w:rsid w:val="00613B07"/>
    <w:rsid w:val="00631A50"/>
    <w:rsid w:val="00636607"/>
    <w:rsid w:val="00652FE8"/>
    <w:rsid w:val="0065639C"/>
    <w:rsid w:val="00674DBB"/>
    <w:rsid w:val="006808BB"/>
    <w:rsid w:val="006A7FCA"/>
    <w:rsid w:val="00757540"/>
    <w:rsid w:val="00760C51"/>
    <w:rsid w:val="00773C05"/>
    <w:rsid w:val="007A1657"/>
    <w:rsid w:val="007B1C4B"/>
    <w:rsid w:val="007C3135"/>
    <w:rsid w:val="007F0C4D"/>
    <w:rsid w:val="008149E7"/>
    <w:rsid w:val="00817E9C"/>
    <w:rsid w:val="008358D2"/>
    <w:rsid w:val="00841637"/>
    <w:rsid w:val="0087224E"/>
    <w:rsid w:val="008925F3"/>
    <w:rsid w:val="008F3D76"/>
    <w:rsid w:val="00900D85"/>
    <w:rsid w:val="009634CD"/>
    <w:rsid w:val="00974004"/>
    <w:rsid w:val="009A462B"/>
    <w:rsid w:val="009A47A5"/>
    <w:rsid w:val="009B77D1"/>
    <w:rsid w:val="009B7A04"/>
    <w:rsid w:val="00A31582"/>
    <w:rsid w:val="00A332EC"/>
    <w:rsid w:val="00AB2603"/>
    <w:rsid w:val="00B01D22"/>
    <w:rsid w:val="00B11634"/>
    <w:rsid w:val="00B14C5D"/>
    <w:rsid w:val="00B31C05"/>
    <w:rsid w:val="00B33D1B"/>
    <w:rsid w:val="00B42789"/>
    <w:rsid w:val="00B835D1"/>
    <w:rsid w:val="00B84968"/>
    <w:rsid w:val="00BA41C6"/>
    <w:rsid w:val="00BF1153"/>
    <w:rsid w:val="00C34FBE"/>
    <w:rsid w:val="00C36327"/>
    <w:rsid w:val="00C516BA"/>
    <w:rsid w:val="00C6733E"/>
    <w:rsid w:val="00C76624"/>
    <w:rsid w:val="00CC10A1"/>
    <w:rsid w:val="00CC5547"/>
    <w:rsid w:val="00CE533B"/>
    <w:rsid w:val="00D043D9"/>
    <w:rsid w:val="00D273A2"/>
    <w:rsid w:val="00D9675B"/>
    <w:rsid w:val="00DB75F4"/>
    <w:rsid w:val="00DC42D6"/>
    <w:rsid w:val="00DC70A7"/>
    <w:rsid w:val="00E07DE4"/>
    <w:rsid w:val="00E9517D"/>
    <w:rsid w:val="00EC6A81"/>
    <w:rsid w:val="00EF293E"/>
    <w:rsid w:val="00F01E30"/>
    <w:rsid w:val="00F313FE"/>
    <w:rsid w:val="00F91410"/>
    <w:rsid w:val="00FB2EEC"/>
    <w:rsid w:val="00FE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D72A8"/>
  <w15:docId w15:val="{A923D9C8-25BB-4533-978A-0A91FC0B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 Char,Footnote Text1 Char Char,Footnote Text1 Char Char Char Char Char,Footnote Text1 Char Char Char Char,single space,FOOTNOTES,fn,footnote text,ADB,pod carou Char Char,pod carou Ch,pod carou,Char,Fußnote"/>
    <w:basedOn w:val="Normal"/>
    <w:link w:val="FootnoteTextChar"/>
    <w:uiPriority w:val="99"/>
    <w:unhideWhenUsed/>
    <w:rsid w:val="009634CD"/>
    <w:pPr>
      <w:spacing w:after="0" w:line="240" w:lineRule="auto"/>
    </w:pPr>
    <w:rPr>
      <w:sz w:val="20"/>
      <w:szCs w:val="20"/>
    </w:rPr>
  </w:style>
  <w:style w:type="character" w:customStyle="1" w:styleId="FootnoteTextChar">
    <w:name w:val="Footnote Text Char"/>
    <w:aliases w:val="Char Char Char Char Char,Footnote Text1 Char Char Char,Footnote Text1 Char Char Char Char Char Char,Footnote Text1 Char Char Char Char Char1,single space Char,FOOTNOTES Char,fn Char,footnote text Char,ADB Char,pod carou Char Char Char"/>
    <w:basedOn w:val="DefaultParagraphFont"/>
    <w:link w:val="FootnoteText"/>
    <w:uiPriority w:val="99"/>
    <w:semiHidden/>
    <w:rsid w:val="009634CD"/>
    <w:rPr>
      <w:sz w:val="20"/>
      <w:szCs w:val="20"/>
    </w:rPr>
  </w:style>
  <w:style w:type="character" w:styleId="FootnoteReference">
    <w:name w:val="footnote reference"/>
    <w:aliases w:val="16 Point,Superscript 6 Point,Odwołanie przypisu,Footnote symbol,ftref,4_G"/>
    <w:basedOn w:val="DefaultParagraphFont"/>
    <w:unhideWhenUsed/>
    <w:rsid w:val="009634CD"/>
    <w:rPr>
      <w:vertAlign w:val="superscript"/>
    </w:rPr>
  </w:style>
  <w:style w:type="paragraph" w:styleId="BalloonText">
    <w:name w:val="Balloon Text"/>
    <w:basedOn w:val="Normal"/>
    <w:link w:val="BalloonTextChar"/>
    <w:uiPriority w:val="99"/>
    <w:semiHidden/>
    <w:unhideWhenUsed/>
    <w:rsid w:val="009B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D1"/>
    <w:rPr>
      <w:rFonts w:ascii="Segoe UI" w:hAnsi="Segoe UI" w:cs="Segoe UI"/>
      <w:sz w:val="18"/>
      <w:szCs w:val="18"/>
    </w:rPr>
  </w:style>
  <w:style w:type="paragraph" w:styleId="ListParagraph">
    <w:name w:val="List Paragraph"/>
    <w:basedOn w:val="Normal"/>
    <w:uiPriority w:val="34"/>
    <w:qFormat/>
    <w:rsid w:val="002C59A0"/>
    <w:pPr>
      <w:ind w:left="720"/>
      <w:contextualSpacing/>
    </w:pPr>
  </w:style>
  <w:style w:type="paragraph" w:styleId="NormalWeb">
    <w:name w:val="Normal (Web)"/>
    <w:basedOn w:val="Normal"/>
    <w:uiPriority w:val="99"/>
    <w:semiHidden/>
    <w:unhideWhenUsed/>
    <w:rsid w:val="008149E7"/>
    <w:pPr>
      <w:spacing w:before="100" w:beforeAutospacing="1" w:after="100" w:afterAutospacing="1" w:line="240" w:lineRule="auto"/>
    </w:pPr>
    <w:rPr>
      <w:rFonts w:ascii="Times" w:hAnsi="Times" w:cs="Times New Roman"/>
      <w:sz w:val="20"/>
      <w:szCs w:val="20"/>
    </w:rPr>
  </w:style>
  <w:style w:type="character" w:styleId="Hyperlink">
    <w:name w:val="Hyperlink"/>
    <w:uiPriority w:val="99"/>
    <w:rsid w:val="002037E7"/>
    <w:rPr>
      <w:color w:val="0000FF"/>
      <w:u w:val="single"/>
    </w:rPr>
  </w:style>
  <w:style w:type="character" w:customStyle="1" w:styleId="FootnoteTextChar1">
    <w:name w:val="Footnote Text Char1"/>
    <w:aliases w:val="Char Char Char Char Char1,Footnote Text1 Char Char Char1,Footnote Text1 Char Char Char Char Char Char1,Footnote Text1 Char Char Char Char Char2,single space Char1,FOOTNOTES Char1,fn Char1,footnote text Char1,ADB Char1,pod carou Char"/>
    <w:rsid w:val="00487795"/>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albania/publications/komentarit-i-ligjit-%E2%80%9Cp%C3%ABr-masa-ndaj-dhun%C3%ABs-n%C3%AB-marr%C3%ABdh%C3%ABniet-familjare%E2%80%9D" TargetMode="External"/><Relationship Id="rId13" Type="http://schemas.openxmlformats.org/officeDocument/2006/relationships/hyperlink" Target="https://www.unwomen.org/en/digital-library/publications/2023/09/legislating-and-enforcing-the-minimum-age-of-marri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cef.us19.list-manage.com/track/click?u=dd1c3c629da2cf3d8050f4336&amp;id=3280fbb85d&amp;e=03d45a38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vokatipopullit.gov.al/sq/articles/activities/e-drejta-e-f%C3%ABmij%C3%ABve/rekomandime-mbi-shkeljet-e-t-drejtave-themelore-t-fmijve-pr-vitin-2020-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us19.list-manage.com/track/click?u=dd1c3c629da2cf3d8050f4336&amp;id=f6206bee23&amp;e=03d45a3832" TargetMode="External"/><Relationship Id="rId5" Type="http://schemas.openxmlformats.org/officeDocument/2006/relationships/webSettings" Target="webSettings.xml"/><Relationship Id="rId15" Type="http://schemas.openxmlformats.org/officeDocument/2006/relationships/hyperlink" Target="https://observator.org.al/wp-content/uploads/2017/03/Raporti-martesat-nen-moshe_al.pdf" TargetMode="External"/><Relationship Id="rId10" Type="http://schemas.openxmlformats.org/officeDocument/2006/relationships/hyperlink" Target="https://www.instat.gov.al/media/8696/grate-dhe-burrat-ne-shqiperi-2021.pdf" TargetMode="External"/><Relationship Id="rId4" Type="http://schemas.openxmlformats.org/officeDocument/2006/relationships/settings" Target="settings.xml"/><Relationship Id="rId9" Type="http://schemas.openxmlformats.org/officeDocument/2006/relationships/hyperlink" Target="http://www.instat.gov.al" TargetMode="External"/><Relationship Id="rId14" Type="http://schemas.openxmlformats.org/officeDocument/2006/relationships/hyperlink" Target="https://www.undp.org/sites/g/files/zskgke326/files/migration/al/Diskriminimi-gjinor-ne-ceshtjet-familjare-A.-Mand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33B1-DD1C-400C-A0E2-B2D85DB1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2024-05-28T09:44:00Z</dcterms:created>
  <dcterms:modified xsi:type="dcterms:W3CDTF">2024-05-28T09:44:00Z</dcterms:modified>
</cp:coreProperties>
</file>