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CD01A" w14:textId="77777777" w:rsidR="0019497F" w:rsidRPr="00743C76" w:rsidRDefault="0019497F" w:rsidP="00C1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q-AL" w:eastAsia="sq-AL"/>
        </w:rPr>
      </w:pPr>
      <w:bookmarkStart w:id="0" w:name="_GoBack"/>
      <w:bookmarkEnd w:id="0"/>
    </w:p>
    <w:p w14:paraId="667826FC" w14:textId="77777777" w:rsidR="00C14EE8" w:rsidRPr="00743C76" w:rsidRDefault="00C14EE8" w:rsidP="00C1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q-AL" w:eastAsia="sq-AL"/>
        </w:rPr>
      </w:pPr>
    </w:p>
    <w:p w14:paraId="64ECBD52" w14:textId="77777777" w:rsidR="00CC10A1" w:rsidRPr="00743C76" w:rsidRDefault="00CC10A1" w:rsidP="00CC10A1">
      <w:pPr>
        <w:jc w:val="center"/>
        <w:rPr>
          <w:rFonts w:ascii="Times New Roman" w:hAnsi="Times New Roman" w:cs="Times New Roman"/>
          <w:b/>
          <w:lang w:val="sq-AL"/>
        </w:rPr>
      </w:pPr>
      <w:r w:rsidRPr="00743C76">
        <w:rPr>
          <w:rFonts w:ascii="Times New Roman" w:hAnsi="Times New Roman" w:cs="Times New Roman"/>
          <w:b/>
          <w:lang w:val="sq-AL"/>
        </w:rPr>
        <w:t>MATRIC</w:t>
      </w:r>
      <w:r w:rsidR="00B31C05" w:rsidRPr="00743C76">
        <w:rPr>
          <w:rFonts w:ascii="Times New Roman" w:hAnsi="Times New Roman" w:cs="Times New Roman"/>
          <w:b/>
          <w:lang w:val="sq-AL"/>
        </w:rPr>
        <w:t>Ë</w:t>
      </w:r>
      <w:r w:rsidRPr="00743C76">
        <w:rPr>
          <w:rFonts w:ascii="Times New Roman" w:hAnsi="Times New Roman" w:cs="Times New Roman"/>
          <w:b/>
          <w:lang w:val="sq-AL"/>
        </w:rPr>
        <w:t xml:space="preserve"> P</w:t>
      </w:r>
      <w:r w:rsidR="00B31C05" w:rsidRPr="00743C76">
        <w:rPr>
          <w:rFonts w:ascii="Times New Roman" w:hAnsi="Times New Roman" w:cs="Times New Roman"/>
          <w:b/>
          <w:lang w:val="sq-AL"/>
        </w:rPr>
        <w:t>Ë</w:t>
      </w:r>
      <w:r w:rsidRPr="00743C76">
        <w:rPr>
          <w:rFonts w:ascii="Times New Roman" w:hAnsi="Times New Roman" w:cs="Times New Roman"/>
          <w:b/>
          <w:lang w:val="sq-AL"/>
        </w:rPr>
        <w:t>RMBLEDH</w:t>
      </w:r>
      <w:r w:rsidR="00B31C05" w:rsidRPr="00743C76">
        <w:rPr>
          <w:rFonts w:ascii="Times New Roman" w:hAnsi="Times New Roman" w:cs="Times New Roman"/>
          <w:b/>
          <w:lang w:val="sq-AL"/>
        </w:rPr>
        <w:t>Ë</w:t>
      </w:r>
      <w:r w:rsidRPr="00743C76">
        <w:rPr>
          <w:rFonts w:ascii="Times New Roman" w:hAnsi="Times New Roman" w:cs="Times New Roman"/>
          <w:b/>
          <w:lang w:val="sq-AL"/>
        </w:rPr>
        <w:t>SE</w:t>
      </w:r>
      <w:r w:rsidR="009B77D1" w:rsidRPr="00743C76">
        <w:rPr>
          <w:rStyle w:val="FootnoteReference"/>
          <w:rFonts w:ascii="Times New Roman" w:hAnsi="Times New Roman" w:cs="Times New Roman"/>
          <w:b/>
          <w:lang w:val="sq-AL"/>
        </w:rPr>
        <w:footnoteReference w:id="1"/>
      </w:r>
      <w:r w:rsidRPr="00743C76">
        <w:rPr>
          <w:rFonts w:ascii="Times New Roman" w:hAnsi="Times New Roman" w:cs="Times New Roman"/>
          <w:b/>
          <w:lang w:val="sq-AL"/>
        </w:rPr>
        <w:t xml:space="preserve"> </w:t>
      </w:r>
    </w:p>
    <w:p w14:paraId="6927D8C4" w14:textId="2366C8D6" w:rsidR="00CC10A1" w:rsidRPr="00743C76" w:rsidRDefault="00CC10A1" w:rsidP="00CC10A1">
      <w:pPr>
        <w:jc w:val="center"/>
        <w:rPr>
          <w:rFonts w:ascii="Times New Roman" w:hAnsi="Times New Roman" w:cs="Times New Roman"/>
          <w:lang w:val="sq-AL"/>
        </w:rPr>
      </w:pPr>
      <w:r w:rsidRPr="00743C76">
        <w:rPr>
          <w:rFonts w:ascii="Times New Roman" w:hAnsi="Times New Roman" w:cs="Times New Roman"/>
          <w:lang w:val="sq-AL"/>
        </w:rPr>
        <w:t>P</w:t>
      </w:r>
      <w:r w:rsidR="00B31C05" w:rsidRPr="00743C76">
        <w:rPr>
          <w:rFonts w:ascii="Times New Roman" w:hAnsi="Times New Roman" w:cs="Times New Roman"/>
          <w:lang w:val="sq-AL"/>
        </w:rPr>
        <w:t>Ë</w:t>
      </w:r>
      <w:r w:rsidRPr="00743C76">
        <w:rPr>
          <w:rFonts w:ascii="Times New Roman" w:hAnsi="Times New Roman" w:cs="Times New Roman"/>
          <w:lang w:val="sq-AL"/>
        </w:rPr>
        <w:t>R TRAJNIMIN ME TEM</w:t>
      </w:r>
      <w:r w:rsidR="00B31C05" w:rsidRPr="00743C76">
        <w:rPr>
          <w:rFonts w:ascii="Times New Roman" w:hAnsi="Times New Roman" w:cs="Times New Roman"/>
          <w:lang w:val="sq-AL"/>
        </w:rPr>
        <w:t>Ë</w:t>
      </w:r>
      <w:r w:rsidRPr="00743C76">
        <w:rPr>
          <w:rFonts w:ascii="Times New Roman" w:hAnsi="Times New Roman" w:cs="Times New Roman"/>
          <w:lang w:val="sq-AL"/>
        </w:rPr>
        <w:t xml:space="preserve">: </w:t>
      </w:r>
    </w:p>
    <w:p w14:paraId="393388B8" w14:textId="1A5E0194" w:rsidR="00F73817" w:rsidRPr="00743C76" w:rsidRDefault="00F73817" w:rsidP="00CC10A1">
      <w:pPr>
        <w:jc w:val="center"/>
        <w:rPr>
          <w:rFonts w:ascii="Times New Roman" w:hAnsi="Times New Roman" w:cs="Times New Roman"/>
          <w:lang w:val="sq-AL"/>
        </w:rPr>
      </w:pPr>
      <w:r w:rsidRPr="00743C76">
        <w:rPr>
          <w:rFonts w:ascii="Times New Roman" w:hAnsi="Times New Roman" w:cs="Times New Roman"/>
          <w:lang w:val="sq-AL"/>
        </w:rPr>
        <w:t>“__________________________________________________”</w:t>
      </w:r>
    </w:p>
    <w:p w14:paraId="61D51692" w14:textId="77777777" w:rsidR="00B31C05" w:rsidRPr="00743C76" w:rsidRDefault="005E6BE7" w:rsidP="00CC10A1">
      <w:pPr>
        <w:jc w:val="center"/>
        <w:rPr>
          <w:rFonts w:ascii="Times New Roman" w:hAnsi="Times New Roman" w:cs="Times New Roman"/>
          <w:lang w:val="sq-AL"/>
        </w:rPr>
      </w:pPr>
      <w:r w:rsidRPr="00743C76">
        <w:rPr>
          <w:rFonts w:ascii="Times New Roman" w:hAnsi="Times New Roman" w:cs="Times New Roman"/>
          <w:lang w:val="sq-AL"/>
        </w:rPr>
        <w:t>i cili do të zhvillohet në datë</w:t>
      </w:r>
    </w:p>
    <w:p w14:paraId="46CFC398" w14:textId="39C5A100" w:rsidR="005E6BE7" w:rsidRPr="00743C76" w:rsidRDefault="00F73817" w:rsidP="00CC10A1">
      <w:pPr>
        <w:jc w:val="center"/>
        <w:rPr>
          <w:rFonts w:ascii="Times New Roman" w:hAnsi="Times New Roman" w:cs="Times New Roman"/>
          <w:lang w:val="sq-AL"/>
        </w:rPr>
      </w:pPr>
      <w:r w:rsidRPr="00743C76">
        <w:rPr>
          <w:rFonts w:ascii="Times New Roman" w:hAnsi="Times New Roman" w:cs="Times New Roman"/>
          <w:lang w:val="sq-AL"/>
        </w:rPr>
        <w:t>______._____.</w:t>
      </w:r>
      <w:r w:rsidR="003E2D72" w:rsidRPr="00743C76">
        <w:rPr>
          <w:rFonts w:ascii="Times New Roman" w:hAnsi="Times New Roman" w:cs="Times New Roman"/>
          <w:lang w:val="sq-AL"/>
        </w:rPr>
        <w:t>202</w:t>
      </w:r>
      <w:r w:rsidR="009504E8" w:rsidRPr="00743C76">
        <w:rPr>
          <w:rFonts w:ascii="Times New Roman" w:hAnsi="Times New Roman" w:cs="Times New Roman"/>
          <w:lang w:val="sq-AL"/>
        </w:rPr>
        <w:t>4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242"/>
        <w:gridCol w:w="1263"/>
        <w:gridCol w:w="1553"/>
        <w:gridCol w:w="4387"/>
      </w:tblGrid>
      <w:tr w:rsidR="0065639C" w:rsidRPr="00743C76" w14:paraId="327CB8ED" w14:textId="77777777" w:rsidTr="00E82B4E">
        <w:trPr>
          <w:trHeight w:val="980"/>
        </w:trPr>
        <w:tc>
          <w:tcPr>
            <w:tcW w:w="2242" w:type="dxa"/>
            <w:vMerge w:val="restart"/>
            <w:shd w:val="clear" w:color="auto" w:fill="9999FF"/>
          </w:tcPr>
          <w:p w14:paraId="2B8F6EEB" w14:textId="77777777" w:rsidR="0065639C" w:rsidRPr="00743C76" w:rsidRDefault="0065639C" w:rsidP="004F73C2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lang w:val="sq-AL"/>
              </w:rPr>
              <w:t>OBJEKTIVI KRYESOR I TRAJNIMIT</w:t>
            </w:r>
            <w:r w:rsidRPr="00743C76">
              <w:rPr>
                <w:rStyle w:val="FootnoteReference"/>
                <w:rFonts w:ascii="Times New Roman" w:hAnsi="Times New Roman" w:cs="Times New Roman"/>
                <w:b/>
                <w:lang w:val="sq-AL"/>
              </w:rPr>
              <w:footnoteReference w:id="2"/>
            </w:r>
          </w:p>
        </w:tc>
        <w:tc>
          <w:tcPr>
            <w:tcW w:w="2816" w:type="dxa"/>
            <w:gridSpan w:val="2"/>
            <w:vMerge w:val="restart"/>
            <w:shd w:val="clear" w:color="auto" w:fill="auto"/>
          </w:tcPr>
          <w:p w14:paraId="389EF8E6" w14:textId="77777777" w:rsidR="004F73C2" w:rsidRPr="00743C76" w:rsidRDefault="0065639C" w:rsidP="00CC10A1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I përbashkët</w:t>
            </w:r>
          </w:p>
          <w:p w14:paraId="45BF6CFE" w14:textId="77777777" w:rsidR="0065639C" w:rsidRPr="00743C76" w:rsidRDefault="0065639C" w:rsidP="004F73C2">
            <w:pPr>
              <w:tabs>
                <w:tab w:val="left" w:pos="445"/>
              </w:tabs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87" w:type="dxa"/>
            <w:vMerge w:val="restart"/>
            <w:shd w:val="clear" w:color="auto" w:fill="auto"/>
          </w:tcPr>
          <w:p w14:paraId="3A519ACC" w14:textId="77777777" w:rsidR="0015523C" w:rsidRPr="00743C76" w:rsidRDefault="0015523C" w:rsidP="0015523C">
            <w:pPr>
              <w:pStyle w:val="NoSpacing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</w:p>
          <w:p w14:paraId="5F66CEED" w14:textId="77777777" w:rsidR="0065639C" w:rsidRPr="00743C76" w:rsidRDefault="0065639C" w:rsidP="0015523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5BC51327" w14:textId="3D2F6C9E" w:rsidR="0015523C" w:rsidRPr="00743C76" w:rsidRDefault="0015523C" w:rsidP="004F73C2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65639C" w:rsidRPr="00743C76" w14:paraId="52864A65" w14:textId="77777777" w:rsidTr="00E82B4E">
        <w:trPr>
          <w:trHeight w:val="530"/>
        </w:trPr>
        <w:tc>
          <w:tcPr>
            <w:tcW w:w="2242" w:type="dxa"/>
            <w:vMerge/>
          </w:tcPr>
          <w:p w14:paraId="75CF3C4D" w14:textId="77777777" w:rsidR="0065639C" w:rsidRPr="00743C76" w:rsidRDefault="0065639C" w:rsidP="00CC10A1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816" w:type="dxa"/>
            <w:gridSpan w:val="2"/>
            <w:vMerge/>
            <w:shd w:val="clear" w:color="auto" w:fill="auto"/>
          </w:tcPr>
          <w:p w14:paraId="2A495EDE" w14:textId="77777777" w:rsidR="0065639C" w:rsidRPr="00743C76" w:rsidRDefault="0065639C" w:rsidP="00CC10A1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87" w:type="dxa"/>
            <w:vMerge/>
            <w:shd w:val="clear" w:color="auto" w:fill="auto"/>
          </w:tcPr>
          <w:p w14:paraId="5BC93F17" w14:textId="77777777" w:rsidR="0065639C" w:rsidRPr="00743C76" w:rsidRDefault="0065639C" w:rsidP="00CC10A1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65639C" w:rsidRPr="00743C76" w14:paraId="3D3B3D55" w14:textId="77777777" w:rsidTr="00E82B4E">
        <w:trPr>
          <w:trHeight w:val="890"/>
        </w:trPr>
        <w:tc>
          <w:tcPr>
            <w:tcW w:w="2242" w:type="dxa"/>
            <w:vMerge w:val="restart"/>
            <w:shd w:val="clear" w:color="auto" w:fill="9999FF"/>
          </w:tcPr>
          <w:p w14:paraId="04E0D3E5" w14:textId="77777777" w:rsidR="0065639C" w:rsidRPr="00743C76" w:rsidRDefault="0065639C" w:rsidP="00CC10A1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lang w:val="sq-AL"/>
              </w:rPr>
              <w:t>ÇËSHTJET QË DO TË TRAJTOHEN</w:t>
            </w:r>
            <w:r w:rsidRPr="00743C76">
              <w:rPr>
                <w:rStyle w:val="FootnoteReference"/>
                <w:rFonts w:ascii="Times New Roman" w:hAnsi="Times New Roman" w:cs="Times New Roman"/>
                <w:lang w:val="sq-AL"/>
              </w:rPr>
              <w:footnoteReference w:id="3"/>
            </w:r>
          </w:p>
        </w:tc>
        <w:tc>
          <w:tcPr>
            <w:tcW w:w="2816" w:type="dxa"/>
            <w:gridSpan w:val="2"/>
            <w:shd w:val="clear" w:color="auto" w:fill="CCCCFF"/>
          </w:tcPr>
          <w:p w14:paraId="402DAB71" w14:textId="77777777" w:rsidR="0065639C" w:rsidRPr="00743C76" w:rsidRDefault="0065639C" w:rsidP="00CC10A1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Ek</w:t>
            </w:r>
            <w:r w:rsidR="000F441C" w:rsidRPr="00743C76">
              <w:rPr>
                <w:rFonts w:ascii="Times New Roman" w:hAnsi="Times New Roman" w:cs="Times New Roman"/>
                <w:lang w:val="sq-AL"/>
              </w:rPr>
              <w:t>s</w:t>
            </w:r>
            <w:r w:rsidRPr="00743C76">
              <w:rPr>
                <w:rFonts w:ascii="Times New Roman" w:hAnsi="Times New Roman" w:cs="Times New Roman"/>
                <w:lang w:val="sq-AL"/>
              </w:rPr>
              <w:t>pert 1</w:t>
            </w:r>
          </w:p>
          <w:p w14:paraId="3316F12F" w14:textId="17C65693" w:rsidR="003E2D72" w:rsidRPr="00743C76" w:rsidRDefault="003E2D72" w:rsidP="00F7381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87" w:type="dxa"/>
            <w:shd w:val="clear" w:color="auto" w:fill="CCCCFF"/>
          </w:tcPr>
          <w:p w14:paraId="122F5777" w14:textId="272085DF" w:rsidR="007F021B" w:rsidRPr="00743C76" w:rsidRDefault="007F021B" w:rsidP="00F73817">
            <w:pPr>
              <w:pStyle w:val="NoSpacing"/>
              <w:rPr>
                <w:rStyle w:val="Emphasis"/>
                <w:rFonts w:ascii="Verdana" w:hAnsi="Verdana"/>
                <w:color w:val="222222"/>
                <w:sz w:val="24"/>
                <w:szCs w:val="24"/>
                <w:highlight w:val="yellow"/>
                <w:lang w:val="sq-AL"/>
              </w:rPr>
            </w:pPr>
          </w:p>
        </w:tc>
      </w:tr>
      <w:tr w:rsidR="00304606" w:rsidRPr="00743C76" w14:paraId="6DF85192" w14:textId="77777777" w:rsidTr="00E82B4E">
        <w:trPr>
          <w:trHeight w:val="980"/>
        </w:trPr>
        <w:tc>
          <w:tcPr>
            <w:tcW w:w="2242" w:type="dxa"/>
            <w:vMerge/>
            <w:shd w:val="clear" w:color="auto" w:fill="9999FF"/>
          </w:tcPr>
          <w:p w14:paraId="24ACBC33" w14:textId="4AB4EA83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816" w:type="dxa"/>
            <w:gridSpan w:val="2"/>
            <w:shd w:val="clear" w:color="auto" w:fill="FFF2CC" w:themeFill="accent4" w:themeFillTint="33"/>
          </w:tcPr>
          <w:p w14:paraId="11BCAD99" w14:textId="1CCDDC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Ekspert 2</w:t>
            </w:r>
          </w:p>
          <w:p w14:paraId="208F8A96" w14:textId="10B1C0C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lang w:val="sq-AL"/>
              </w:rPr>
              <w:t>Sokol PINA</w:t>
            </w:r>
          </w:p>
          <w:p w14:paraId="0E5C7B7C" w14:textId="4A6777BC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87" w:type="dxa"/>
            <w:shd w:val="clear" w:color="auto" w:fill="FFF2CC" w:themeFill="accent4" w:themeFillTint="33"/>
          </w:tcPr>
          <w:p w14:paraId="365D2051" w14:textId="625F61F7" w:rsidR="001B78BC" w:rsidRDefault="001B78BC" w:rsidP="003046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1B78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Detyrimi ligjor për arsyetimin e vendimeve gjyqësore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;</w:t>
            </w:r>
          </w:p>
          <w:p w14:paraId="4547B32B" w14:textId="053AA874" w:rsidR="00304606" w:rsidRPr="00743C76" w:rsidRDefault="00304606" w:rsidP="003046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Funksionet e arsyetimit</w:t>
            </w:r>
            <w:r w:rsidR="00F234F4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;</w:t>
            </w:r>
          </w:p>
          <w:p w14:paraId="5F03D6D5" w14:textId="6C3D45CF" w:rsidR="00304606" w:rsidRPr="00743C76" w:rsidRDefault="00304606" w:rsidP="003046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Struktura dhe elementët e vendimit të gjykatës së apelit</w:t>
            </w:r>
            <w:r w:rsidR="00DC44BE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;</w:t>
            </w:r>
          </w:p>
          <w:p w14:paraId="366EB3F9" w14:textId="47E676D1" w:rsidR="00304606" w:rsidRPr="00743C76" w:rsidRDefault="00304606" w:rsidP="003046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Cilësia e arsyetimit</w:t>
            </w:r>
            <w:r w:rsidR="00F234F4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;</w:t>
            </w:r>
          </w:p>
          <w:p w14:paraId="2C9AC9BB" w14:textId="77777777" w:rsidR="00304606" w:rsidRPr="00743C76" w:rsidRDefault="00304606" w:rsidP="003046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Mjaftueshmëria e arsyetimit;</w:t>
            </w:r>
          </w:p>
          <w:p w14:paraId="4939DBDB" w14:textId="77777777" w:rsidR="00304606" w:rsidRPr="00743C76" w:rsidRDefault="00304606" w:rsidP="003046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Arsyetimi i masave penale të sigurimit;</w:t>
            </w:r>
          </w:p>
          <w:p w14:paraId="4BB440FE" w14:textId="77777777" w:rsidR="00304606" w:rsidRPr="00743C76" w:rsidRDefault="00304606" w:rsidP="003046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Arsyetimi i vendimeve të ndërmjetme dhe atyre jopërfundimtare;</w:t>
            </w:r>
          </w:p>
          <w:p w14:paraId="5D2E2158" w14:textId="0692078A" w:rsidR="00304606" w:rsidRPr="00743C76" w:rsidRDefault="00304606" w:rsidP="003046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Kufijtë e kontrollit në apel</w:t>
            </w:r>
            <w:r w:rsidR="001D1105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.</w:t>
            </w:r>
          </w:p>
          <w:p w14:paraId="0CFA00AB" w14:textId="319BE908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304606" w:rsidRPr="00743C76" w14:paraId="1526F762" w14:textId="77777777" w:rsidTr="00E82B4E">
        <w:trPr>
          <w:trHeight w:val="1070"/>
        </w:trPr>
        <w:tc>
          <w:tcPr>
            <w:tcW w:w="2242" w:type="dxa"/>
            <w:vMerge/>
            <w:shd w:val="clear" w:color="auto" w:fill="9999FF"/>
          </w:tcPr>
          <w:p w14:paraId="6A5E49BE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816" w:type="dxa"/>
            <w:gridSpan w:val="2"/>
            <w:shd w:val="clear" w:color="auto" w:fill="E2EFD9" w:themeFill="accent6" w:themeFillTint="33"/>
          </w:tcPr>
          <w:p w14:paraId="3E3FFA08" w14:textId="33870E3B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 w:eastAsia="ja-JP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Leht</w:t>
            </w:r>
            <w:r w:rsidRPr="00743C76">
              <w:rPr>
                <w:rFonts w:ascii="Times New Roman" w:hAnsi="Times New Roman" w:cs="Times New Roman"/>
                <w:lang w:val="sq-AL" w:eastAsia="ja-JP"/>
              </w:rPr>
              <w:t>ësues 1</w:t>
            </w:r>
          </w:p>
          <w:p w14:paraId="3767CFFC" w14:textId="5324E521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 w:eastAsia="ja-JP"/>
              </w:rPr>
            </w:pPr>
          </w:p>
        </w:tc>
        <w:tc>
          <w:tcPr>
            <w:tcW w:w="4387" w:type="dxa"/>
            <w:shd w:val="clear" w:color="auto" w:fill="E2EFD9" w:themeFill="accent6" w:themeFillTint="33"/>
          </w:tcPr>
          <w:p w14:paraId="24A2D08A" w14:textId="20E23D94" w:rsidR="00304606" w:rsidRPr="00743C76" w:rsidRDefault="00304606" w:rsidP="0030460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304606" w:rsidRPr="00743C76" w14:paraId="26A25239" w14:textId="77777777" w:rsidTr="00E82B4E">
        <w:trPr>
          <w:trHeight w:val="810"/>
        </w:trPr>
        <w:tc>
          <w:tcPr>
            <w:tcW w:w="2242" w:type="dxa"/>
            <w:vMerge w:val="restart"/>
            <w:shd w:val="clear" w:color="auto" w:fill="9999FF"/>
          </w:tcPr>
          <w:p w14:paraId="12ED1564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lang w:val="sq-AL"/>
              </w:rPr>
              <w:lastRenderedPageBreak/>
              <w:t>PYETJET VETËSTUDIMORE</w:t>
            </w:r>
            <w:r w:rsidRPr="00743C76">
              <w:rPr>
                <w:rStyle w:val="FootnoteReference"/>
                <w:rFonts w:ascii="Times New Roman" w:hAnsi="Times New Roman" w:cs="Times New Roman"/>
                <w:b/>
                <w:lang w:val="sq-AL"/>
              </w:rPr>
              <w:footnoteReference w:id="4"/>
            </w:r>
          </w:p>
        </w:tc>
        <w:tc>
          <w:tcPr>
            <w:tcW w:w="2816" w:type="dxa"/>
            <w:gridSpan w:val="2"/>
            <w:shd w:val="clear" w:color="auto" w:fill="CCCCFF"/>
          </w:tcPr>
          <w:p w14:paraId="2C5A45F1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Ekspert 1</w:t>
            </w:r>
          </w:p>
          <w:p w14:paraId="1E39F343" w14:textId="0CC898D9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87" w:type="dxa"/>
            <w:shd w:val="clear" w:color="auto" w:fill="CCCCFF"/>
          </w:tcPr>
          <w:p w14:paraId="30361A79" w14:textId="103A7E1F" w:rsidR="00304606" w:rsidRPr="00743C76" w:rsidRDefault="00304606" w:rsidP="00304606">
            <w:pPr>
              <w:rPr>
                <w:rFonts w:ascii="Times New Roman" w:hAnsi="Times New Roman" w:cs="Times New Roman"/>
                <w:bCs/>
                <w:sz w:val="28"/>
                <w:szCs w:val="28"/>
                <w:lang w:val="sq-AL"/>
              </w:rPr>
            </w:pPr>
          </w:p>
        </w:tc>
      </w:tr>
      <w:tr w:rsidR="00304606" w:rsidRPr="00743C76" w14:paraId="44053D4B" w14:textId="77777777" w:rsidTr="00E82B4E">
        <w:trPr>
          <w:trHeight w:val="872"/>
        </w:trPr>
        <w:tc>
          <w:tcPr>
            <w:tcW w:w="2242" w:type="dxa"/>
            <w:vMerge/>
            <w:shd w:val="clear" w:color="auto" w:fill="9999FF"/>
          </w:tcPr>
          <w:p w14:paraId="3C392C60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816" w:type="dxa"/>
            <w:gridSpan w:val="2"/>
            <w:shd w:val="clear" w:color="auto" w:fill="FFF2CC" w:themeFill="accent4" w:themeFillTint="33"/>
          </w:tcPr>
          <w:p w14:paraId="78682647" w14:textId="0208A3DB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Ekspert 2</w:t>
            </w:r>
          </w:p>
          <w:p w14:paraId="54E43AE1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lang w:val="sq-AL"/>
              </w:rPr>
              <w:t>Sokol PINA</w:t>
            </w:r>
          </w:p>
          <w:p w14:paraId="4E9175F7" w14:textId="3FC9A676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87" w:type="dxa"/>
            <w:shd w:val="clear" w:color="auto" w:fill="FFF2CC" w:themeFill="accent4" w:themeFillTint="33"/>
          </w:tcPr>
          <w:p w14:paraId="7018D798" w14:textId="1592599F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-Funksioni procedural dhe ekstra procedural</w:t>
            </w:r>
            <w:r w:rsidR="001D1105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 i arsyetimit</w:t>
            </w: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;</w:t>
            </w:r>
          </w:p>
          <w:p w14:paraId="52E0534E" w14:textId="2D92346B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- Nevojat bazë për arsyetimin e vendimeve; </w:t>
            </w:r>
          </w:p>
          <w:p w14:paraId="5CF1B447" w14:textId="2EFABA7A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- Arsyetimi i vendimit dhe e drejta për t’u dëgjuar;</w:t>
            </w:r>
          </w:p>
          <w:p w14:paraId="382B79F5" w14:textId="77777777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- Raporti me gjykimin brenda një afati të arsyeshëm;</w:t>
            </w:r>
          </w:p>
          <w:p w14:paraId="5001A0CF" w14:textId="33A0BAD0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- Raporti me parimin e “gjësë së gjykuar” (ne bis in idem).</w:t>
            </w:r>
          </w:p>
          <w:p w14:paraId="0B0C33BF" w14:textId="04762243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- Veçoritë e vendimit të gjykatës së apelit, si juridiksion rishikues/kontrollues;</w:t>
            </w:r>
          </w:p>
          <w:p w14:paraId="430D15B8" w14:textId="37F887C9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- Cila është struktura dhe elementët e vendimit që konstaton mungesën e kushteve të </w:t>
            </w: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ab/>
              <w:t>pranueshmërisë së ankimit?</w:t>
            </w:r>
          </w:p>
          <w:p w14:paraId="3DC08780" w14:textId="49596CAA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- Saktësia dhe kronologjia e fakteve;</w:t>
            </w:r>
          </w:p>
          <w:p w14:paraId="2D80AD57" w14:textId="56C70D01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- </w:t>
            </w:r>
            <w:r w:rsidR="009942A5" w:rsidRPr="009942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Arsyetim i individualizuar</w:t>
            </w: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;</w:t>
            </w:r>
          </w:p>
          <w:p w14:paraId="5B2BB161" w14:textId="23DCF467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- </w:t>
            </w:r>
            <w:r w:rsidR="009942A5" w:rsidRPr="009942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Dispozitat ligjore në të cilat bazohet vendimi</w:t>
            </w: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;</w:t>
            </w:r>
          </w:p>
          <w:p w14:paraId="6E98CA7D" w14:textId="25A7611B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- Referimi në teorinë e së drejtës dhe jurisprudencën e huaj;</w:t>
            </w:r>
          </w:p>
          <w:p w14:paraId="3553915F" w14:textId="03271F5D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- </w:t>
            </w:r>
            <w:r w:rsidR="00E94F84" w:rsidRPr="00E94F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Arsyetim konkret dhe jo abstrakt</w:t>
            </w: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;</w:t>
            </w:r>
          </w:p>
          <w:p w14:paraId="06AA900D" w14:textId="07471401" w:rsidR="00304606" w:rsidRPr="00743C76" w:rsidRDefault="00304606" w:rsidP="00304606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- S</w:t>
            </w:r>
            <w:r w:rsidR="00D44342" w:rsidRPr="00D443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tereotip</w:t>
            </w: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et</w:t>
            </w:r>
            <w:r w:rsidR="00D44342" w:rsidRPr="00D443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 </w:t>
            </w: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e</w:t>
            </w:r>
            <w:r w:rsidR="00D44342" w:rsidRPr="00D443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 arsyetimit</w:t>
            </w: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.</w:t>
            </w:r>
          </w:p>
          <w:p w14:paraId="46DB2C10" w14:textId="3E992BDC" w:rsidR="00304606" w:rsidRPr="00743C76" w:rsidRDefault="00C233A4" w:rsidP="00C233A4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- </w:t>
            </w:r>
            <w:r w:rsidR="00304606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Ku vendosen shkaqet e ankimit?</w:t>
            </w:r>
          </w:p>
          <w:p w14:paraId="4027B8C6" w14:textId="178EDDBF" w:rsidR="00304606" w:rsidRPr="00743C76" w:rsidRDefault="00C233A4" w:rsidP="00C233A4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- </w:t>
            </w:r>
            <w:r w:rsidR="00304606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Cila është struktura dhe elementët e vendimit që konstaton mungesën e </w:t>
            </w:r>
            <w:r w:rsidR="00304606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lastRenderedPageBreak/>
              <w:t>kushteve të pranueshmërisë së ankimit?</w:t>
            </w:r>
          </w:p>
          <w:p w14:paraId="523234DB" w14:textId="5EDDB5B6" w:rsidR="00304606" w:rsidRPr="00743C76" w:rsidRDefault="00C233A4" w:rsidP="00C233A4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-</w:t>
            </w:r>
            <w:r w:rsidR="00304606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 Mënyra e referimit të dispozitës ligjore. A duhet pasqyruar e plotë përmbajtja e dispozitës? </w:t>
            </w:r>
          </w:p>
          <w:p w14:paraId="6B229491" w14:textId="1FF3D06D" w:rsidR="00304606" w:rsidRPr="00743C76" w:rsidRDefault="00C233A4" w:rsidP="00C233A4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- </w:t>
            </w:r>
            <w:r w:rsidR="00304606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Mënyra se si duhet të referohet doktrina apo teoria e të drejtës</w:t>
            </w:r>
            <w:r w:rsidR="00E1288E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.</w:t>
            </w:r>
          </w:p>
          <w:p w14:paraId="55B91E8C" w14:textId="1FC32908" w:rsidR="00304606" w:rsidRPr="00743C76" w:rsidRDefault="00C233A4" w:rsidP="00C233A4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- </w:t>
            </w:r>
            <w:r w:rsidR="00304606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Mënyra se si duhet të kryhen referimet, me “footnote” apo në kllapa brenda tekstit kryesor</w:t>
            </w:r>
            <w:r w:rsidR="00E1288E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.</w:t>
            </w:r>
          </w:p>
          <w:p w14:paraId="57BE0013" w14:textId="1ADADDEA" w:rsidR="00304606" w:rsidRPr="00743C76" w:rsidRDefault="00C233A4" w:rsidP="00C233A4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 xml:space="preserve">- </w:t>
            </w:r>
            <w:r w:rsidR="00304606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Referimi në teorinë e së drejtës dhe jurisprudencën e huaj</w:t>
            </w:r>
            <w:r w:rsidR="00E1288E" w:rsidRPr="00743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q-AL"/>
              </w:rPr>
              <w:t>.</w:t>
            </w:r>
          </w:p>
          <w:p w14:paraId="3D676E74" w14:textId="71CF9DB0" w:rsidR="00304606" w:rsidRPr="00743C76" w:rsidRDefault="00304606" w:rsidP="003046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304606" w:rsidRPr="00743C76" w14:paraId="0ECB0540" w14:textId="77777777" w:rsidTr="00E82B4E">
        <w:trPr>
          <w:trHeight w:val="818"/>
        </w:trPr>
        <w:tc>
          <w:tcPr>
            <w:tcW w:w="2242" w:type="dxa"/>
            <w:vMerge/>
            <w:shd w:val="clear" w:color="auto" w:fill="9999FF"/>
          </w:tcPr>
          <w:p w14:paraId="180D4854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816" w:type="dxa"/>
            <w:gridSpan w:val="2"/>
            <w:shd w:val="clear" w:color="auto" w:fill="E2EFD9" w:themeFill="accent6" w:themeFillTint="33"/>
          </w:tcPr>
          <w:p w14:paraId="509C8F70" w14:textId="1BE5E034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Lehtësues 1</w:t>
            </w:r>
          </w:p>
          <w:p w14:paraId="75578FB9" w14:textId="1BB45ED3" w:rsidR="00304606" w:rsidRPr="00743C76" w:rsidRDefault="00304606" w:rsidP="00304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  <w:p w14:paraId="7A377AC1" w14:textId="77777777" w:rsidR="00304606" w:rsidRPr="00743C76" w:rsidRDefault="00304606" w:rsidP="00304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  <w:p w14:paraId="21379C1F" w14:textId="3B31A298" w:rsidR="00304606" w:rsidRPr="00743C76" w:rsidRDefault="00304606" w:rsidP="0030460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87" w:type="dxa"/>
            <w:shd w:val="clear" w:color="auto" w:fill="E2EFD9" w:themeFill="accent6" w:themeFillTint="33"/>
          </w:tcPr>
          <w:p w14:paraId="140154BD" w14:textId="77777777" w:rsidR="00304606" w:rsidRPr="00743C76" w:rsidRDefault="00304606" w:rsidP="00304606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6D6D2255" w14:textId="7242F6A7" w:rsidR="00304606" w:rsidRPr="00743C76" w:rsidRDefault="00304606" w:rsidP="00304606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304606" w:rsidRPr="00743C76" w14:paraId="712B42F3" w14:textId="77777777" w:rsidTr="00E82B4E">
        <w:trPr>
          <w:trHeight w:val="1628"/>
        </w:trPr>
        <w:tc>
          <w:tcPr>
            <w:tcW w:w="2242" w:type="dxa"/>
            <w:shd w:val="clear" w:color="auto" w:fill="9999FF"/>
          </w:tcPr>
          <w:p w14:paraId="1D953128" w14:textId="155217EA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lang w:val="sq-AL"/>
              </w:rPr>
              <w:t>STRUKTURA DHE METODOLOGJIA</w:t>
            </w:r>
            <w:r w:rsidRPr="00743C76">
              <w:rPr>
                <w:rStyle w:val="FootnoteReference"/>
                <w:rFonts w:ascii="Times New Roman" w:hAnsi="Times New Roman" w:cs="Times New Roman"/>
                <w:b/>
                <w:lang w:val="sq-AL"/>
              </w:rPr>
              <w:footnoteReference w:id="5"/>
            </w:r>
          </w:p>
          <w:p w14:paraId="7F8B9B40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lang w:val="sq-AL"/>
              </w:rPr>
              <w:t>(ushtrimet dhe rastet praktike)</w:t>
            </w:r>
            <w:r w:rsidRPr="00743C76">
              <w:rPr>
                <w:rStyle w:val="FootnoteReference"/>
                <w:rFonts w:ascii="Times New Roman" w:hAnsi="Times New Roman" w:cs="Times New Roman"/>
                <w:b/>
                <w:lang w:val="sq-AL"/>
              </w:rPr>
              <w:footnoteReference w:id="6"/>
            </w:r>
          </w:p>
        </w:tc>
        <w:tc>
          <w:tcPr>
            <w:tcW w:w="2816" w:type="dxa"/>
            <w:gridSpan w:val="2"/>
          </w:tcPr>
          <w:p w14:paraId="29CFF0A5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I përbashkët</w:t>
            </w:r>
          </w:p>
        </w:tc>
        <w:tc>
          <w:tcPr>
            <w:tcW w:w="4387" w:type="dxa"/>
          </w:tcPr>
          <w:p w14:paraId="294FB04D" w14:textId="5B9DCDB4" w:rsidR="00304606" w:rsidRPr="00743C76" w:rsidRDefault="00304606" w:rsidP="00304606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304606" w:rsidRPr="00743C76" w14:paraId="119B2C54" w14:textId="77777777" w:rsidTr="00E82B4E">
        <w:trPr>
          <w:trHeight w:val="512"/>
        </w:trPr>
        <w:tc>
          <w:tcPr>
            <w:tcW w:w="2242" w:type="dxa"/>
            <w:vMerge w:val="restart"/>
            <w:shd w:val="clear" w:color="auto" w:fill="9999FF"/>
          </w:tcPr>
          <w:p w14:paraId="7D8ECCF6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lang w:val="sq-AL"/>
              </w:rPr>
              <w:t>MATERIALET E TRAJNIMIT</w:t>
            </w:r>
            <w:r w:rsidRPr="00743C76">
              <w:rPr>
                <w:rFonts w:ascii="Times New Roman" w:hAnsi="Times New Roman" w:cs="Times New Roman"/>
                <w:b/>
                <w:vertAlign w:val="superscript"/>
                <w:lang w:val="sq-AL"/>
              </w:rPr>
              <w:footnoteReference w:id="7"/>
            </w:r>
          </w:p>
          <w:p w14:paraId="23B46156" w14:textId="7235306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63" w:type="dxa"/>
            <w:vMerge w:val="restart"/>
            <w:shd w:val="clear" w:color="auto" w:fill="9999FF"/>
          </w:tcPr>
          <w:p w14:paraId="5A06D9DC" w14:textId="77777777" w:rsidR="00304606" w:rsidRPr="00743C76" w:rsidRDefault="00304606" w:rsidP="00304606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Leksion i ekspertit</w:t>
            </w:r>
          </w:p>
        </w:tc>
        <w:tc>
          <w:tcPr>
            <w:tcW w:w="1553" w:type="dxa"/>
            <w:shd w:val="clear" w:color="auto" w:fill="CCCCFF"/>
          </w:tcPr>
          <w:p w14:paraId="53E0C0E9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Ekspert 1</w:t>
            </w:r>
          </w:p>
          <w:p w14:paraId="70558B60" w14:textId="30DFE8C7" w:rsidR="00304606" w:rsidRPr="00743C76" w:rsidRDefault="00304606" w:rsidP="003046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</w:tc>
        <w:tc>
          <w:tcPr>
            <w:tcW w:w="4387" w:type="dxa"/>
            <w:shd w:val="clear" w:color="auto" w:fill="CCCCFF"/>
          </w:tcPr>
          <w:p w14:paraId="1CD0CED3" w14:textId="0F180EAE" w:rsidR="00304606" w:rsidRPr="00743C76" w:rsidRDefault="00304606" w:rsidP="00304606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 bashkegjitet matricës</w:t>
            </w:r>
          </w:p>
        </w:tc>
      </w:tr>
      <w:tr w:rsidR="00304606" w:rsidRPr="00743C76" w14:paraId="0643CC1F" w14:textId="77777777" w:rsidTr="00E82B4E">
        <w:trPr>
          <w:trHeight w:val="503"/>
        </w:trPr>
        <w:tc>
          <w:tcPr>
            <w:tcW w:w="2242" w:type="dxa"/>
            <w:vMerge/>
            <w:shd w:val="clear" w:color="auto" w:fill="9999FF"/>
          </w:tcPr>
          <w:p w14:paraId="0900446C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263" w:type="dxa"/>
            <w:vMerge/>
            <w:shd w:val="clear" w:color="auto" w:fill="9999FF"/>
          </w:tcPr>
          <w:p w14:paraId="6A4D95A9" w14:textId="77777777" w:rsidR="00304606" w:rsidRPr="00743C76" w:rsidRDefault="00304606" w:rsidP="00304606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53" w:type="dxa"/>
            <w:shd w:val="clear" w:color="auto" w:fill="FFF2CC" w:themeFill="accent4" w:themeFillTint="33"/>
          </w:tcPr>
          <w:p w14:paraId="3D73579A" w14:textId="005B6B6C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Ekspert 2</w:t>
            </w:r>
          </w:p>
          <w:p w14:paraId="4E34B0DA" w14:textId="73C19F49" w:rsidR="003E6ACB" w:rsidRPr="00743C76" w:rsidRDefault="003E6ACB" w:rsidP="00304606">
            <w:pPr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lang w:val="sq-AL"/>
              </w:rPr>
              <w:t>Sokol PINA</w:t>
            </w:r>
          </w:p>
          <w:p w14:paraId="0CF4754E" w14:textId="3CF81304" w:rsidR="00304606" w:rsidRPr="00743C76" w:rsidRDefault="00304606" w:rsidP="0030460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87" w:type="dxa"/>
            <w:shd w:val="clear" w:color="auto" w:fill="FFF2CC" w:themeFill="accent4" w:themeFillTint="33"/>
          </w:tcPr>
          <w:p w14:paraId="124DBF3D" w14:textId="040E246F" w:rsidR="00693DC5" w:rsidRPr="00743C76" w:rsidRDefault="00693DC5" w:rsidP="00693D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1. Leksion në “PowerPoint”, Maj 2024;</w:t>
            </w:r>
          </w:p>
          <w:p w14:paraId="2172E490" w14:textId="567A8681" w:rsidR="00693DC5" w:rsidRPr="00743C76" w:rsidRDefault="00693DC5" w:rsidP="00693D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2. Memo ligjore: “Kufiri i kontrollit Kushtetues mbi arsyetimin e vendimeve gjyqësore”; </w:t>
            </w:r>
            <w:r w:rsidRPr="00BB07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bashkëautor </w:t>
            </w:r>
            <w:r w:rsidRPr="00BB07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lastRenderedPageBreak/>
              <w:t>Sokol Pina</w:t>
            </w:r>
            <w:r w:rsidRPr="00743C7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, Nurjeta Tafa, Eglantina Shehu dhe Saimir Smaka. Q</w:t>
            </w:r>
            <w:r w:rsidR="00DA12C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ershor</w:t>
            </w:r>
            <w:r w:rsidRPr="00743C7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, 2013</w:t>
            </w:r>
            <w:r w:rsidR="00DA12C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</w:p>
          <w:p w14:paraId="1944FA52" w14:textId="4F2AF07B" w:rsidR="00304606" w:rsidRPr="00743C76" w:rsidRDefault="00304606" w:rsidP="00693D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304606" w:rsidRPr="00743C76" w14:paraId="11124F9B" w14:textId="77777777" w:rsidTr="00E82B4E">
        <w:trPr>
          <w:trHeight w:val="503"/>
        </w:trPr>
        <w:tc>
          <w:tcPr>
            <w:tcW w:w="2242" w:type="dxa"/>
            <w:vMerge/>
            <w:shd w:val="clear" w:color="auto" w:fill="9999FF"/>
          </w:tcPr>
          <w:p w14:paraId="71FA7ACE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263" w:type="dxa"/>
            <w:vMerge/>
            <w:shd w:val="clear" w:color="auto" w:fill="9999FF"/>
          </w:tcPr>
          <w:p w14:paraId="31461DDC" w14:textId="77777777" w:rsidR="00304606" w:rsidRPr="00743C76" w:rsidRDefault="00304606" w:rsidP="00304606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53" w:type="dxa"/>
            <w:shd w:val="clear" w:color="auto" w:fill="E2EFD9" w:themeFill="accent6" w:themeFillTint="33"/>
          </w:tcPr>
          <w:p w14:paraId="69F43F7C" w14:textId="164444C2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Lehtësues 1</w:t>
            </w:r>
          </w:p>
          <w:p w14:paraId="5A346B96" w14:textId="0CAD5346" w:rsidR="00304606" w:rsidRPr="00743C76" w:rsidRDefault="00304606" w:rsidP="0030460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87" w:type="dxa"/>
            <w:shd w:val="clear" w:color="auto" w:fill="E2EFD9" w:themeFill="accent6" w:themeFillTint="33"/>
          </w:tcPr>
          <w:p w14:paraId="281036C8" w14:textId="4CC358D3" w:rsidR="00304606" w:rsidRPr="00743C76" w:rsidRDefault="00304606" w:rsidP="00304606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-I bashkegjitet matricës</w:t>
            </w:r>
          </w:p>
        </w:tc>
      </w:tr>
      <w:tr w:rsidR="00304606" w:rsidRPr="00743C76" w14:paraId="676CB0D7" w14:textId="77777777" w:rsidTr="00E82B4E">
        <w:trPr>
          <w:trHeight w:val="503"/>
        </w:trPr>
        <w:tc>
          <w:tcPr>
            <w:tcW w:w="2242" w:type="dxa"/>
            <w:vMerge/>
            <w:shd w:val="clear" w:color="auto" w:fill="9999FF"/>
          </w:tcPr>
          <w:p w14:paraId="0684A296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263" w:type="dxa"/>
            <w:vMerge w:val="restart"/>
            <w:shd w:val="clear" w:color="auto" w:fill="9999FF"/>
          </w:tcPr>
          <w:p w14:paraId="295E0D97" w14:textId="77777777" w:rsidR="00304606" w:rsidRPr="00743C76" w:rsidRDefault="00304606" w:rsidP="00304606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Literatura ku është mbështetur</w:t>
            </w:r>
          </w:p>
        </w:tc>
        <w:tc>
          <w:tcPr>
            <w:tcW w:w="1553" w:type="dxa"/>
            <w:shd w:val="clear" w:color="auto" w:fill="CCCCFF"/>
          </w:tcPr>
          <w:p w14:paraId="183C1D12" w14:textId="77777777" w:rsidR="00304606" w:rsidRPr="00743C76" w:rsidRDefault="00304606" w:rsidP="0030460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Ekspert 1</w:t>
            </w:r>
          </w:p>
          <w:p w14:paraId="5533EC64" w14:textId="1C556554" w:rsidR="00304606" w:rsidRPr="00743C76" w:rsidRDefault="00304606" w:rsidP="003046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wave"/>
                <w:lang w:val="sq-AL" w:eastAsia="en-GB"/>
              </w:rPr>
            </w:pPr>
          </w:p>
        </w:tc>
        <w:tc>
          <w:tcPr>
            <w:tcW w:w="4387" w:type="dxa"/>
            <w:shd w:val="clear" w:color="auto" w:fill="CCCCFF"/>
          </w:tcPr>
          <w:p w14:paraId="4400A2A7" w14:textId="131D1572" w:rsidR="00304606" w:rsidRPr="00743C76" w:rsidRDefault="00304606" w:rsidP="00304606">
            <w:pPr>
              <w:ind w:left="720"/>
              <w:rPr>
                <w:rFonts w:ascii="Times New Roman" w:hAnsi="Times New Roman"/>
                <w:lang w:val="sq-AL"/>
              </w:rPr>
            </w:pPr>
          </w:p>
        </w:tc>
      </w:tr>
      <w:tr w:rsidR="00693DC5" w:rsidRPr="00743C76" w14:paraId="035954C8" w14:textId="77777777" w:rsidTr="00E82B4E">
        <w:trPr>
          <w:trHeight w:val="602"/>
        </w:trPr>
        <w:tc>
          <w:tcPr>
            <w:tcW w:w="2242" w:type="dxa"/>
            <w:vMerge/>
            <w:shd w:val="clear" w:color="auto" w:fill="9999FF"/>
          </w:tcPr>
          <w:p w14:paraId="4FC90F95" w14:textId="77777777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263" w:type="dxa"/>
            <w:vMerge/>
            <w:shd w:val="clear" w:color="auto" w:fill="9999FF"/>
          </w:tcPr>
          <w:p w14:paraId="6F679B0C" w14:textId="77777777" w:rsidR="00693DC5" w:rsidRPr="00743C76" w:rsidRDefault="00693DC5" w:rsidP="00693DC5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53" w:type="dxa"/>
            <w:shd w:val="clear" w:color="auto" w:fill="FFF2CC" w:themeFill="accent4" w:themeFillTint="33"/>
          </w:tcPr>
          <w:p w14:paraId="74B405FB" w14:textId="7F86C566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Ekspert 2</w:t>
            </w:r>
          </w:p>
          <w:p w14:paraId="704FE425" w14:textId="7B8B8C1D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lang w:val="sq-AL"/>
              </w:rPr>
              <w:t>Sokol PINA</w:t>
            </w:r>
          </w:p>
          <w:p w14:paraId="39565A4E" w14:textId="24D6E6CD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  <w:lang w:val="sq-AL"/>
              </w:rPr>
            </w:pPr>
          </w:p>
        </w:tc>
        <w:tc>
          <w:tcPr>
            <w:tcW w:w="4387" w:type="dxa"/>
            <w:shd w:val="clear" w:color="auto" w:fill="FFF2CC" w:themeFill="accent4" w:themeFillTint="33"/>
          </w:tcPr>
          <w:p w14:paraId="4A8C089B" w14:textId="082A9BB2" w:rsidR="00693DC5" w:rsidRPr="00743C76" w:rsidRDefault="00693DC5" w:rsidP="00693D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Memo ligjore: “</w:t>
            </w:r>
            <w:r w:rsidRPr="002B073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q-AL"/>
              </w:rPr>
              <w:t>Kufiri i kontrollit Kushtetues mbi arsyetimin e vendimeve gjyqësore”;</w:t>
            </w:r>
            <w:r w:rsidRPr="00743C7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6D08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bashkëautor Sokol Pina</w:t>
            </w:r>
            <w:r w:rsidRPr="00743C7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, Nurjeta Tafa, Eglantina Shehu dhe Saimir Smaka. Q</w:t>
            </w:r>
            <w:r w:rsidR="00DA12C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ershor</w:t>
            </w:r>
            <w:r w:rsidRPr="00743C7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, 2013</w:t>
            </w:r>
          </w:p>
          <w:p w14:paraId="40D3405F" w14:textId="10D0E966" w:rsidR="00693DC5" w:rsidRPr="00743C76" w:rsidRDefault="00693DC5" w:rsidP="00693DC5">
            <w:pPr>
              <w:ind w:left="72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693DC5" w:rsidRPr="00743C76" w14:paraId="11C3D3CB" w14:textId="77777777" w:rsidTr="00E82B4E">
        <w:trPr>
          <w:trHeight w:val="593"/>
        </w:trPr>
        <w:tc>
          <w:tcPr>
            <w:tcW w:w="2242" w:type="dxa"/>
            <w:vMerge/>
            <w:shd w:val="clear" w:color="auto" w:fill="9999FF"/>
          </w:tcPr>
          <w:p w14:paraId="15162F16" w14:textId="77777777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263" w:type="dxa"/>
            <w:vMerge/>
            <w:shd w:val="clear" w:color="auto" w:fill="9999FF"/>
          </w:tcPr>
          <w:p w14:paraId="0F191BD6" w14:textId="77777777" w:rsidR="00693DC5" w:rsidRPr="00743C76" w:rsidRDefault="00693DC5" w:rsidP="00693DC5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53" w:type="dxa"/>
            <w:shd w:val="clear" w:color="auto" w:fill="E2EFD9" w:themeFill="accent6" w:themeFillTint="33"/>
          </w:tcPr>
          <w:p w14:paraId="5AFC7463" w14:textId="2E1FEAC9" w:rsidR="00693DC5" w:rsidRPr="00743C76" w:rsidRDefault="00693DC5" w:rsidP="006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  <w:r w:rsidRPr="00743C76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Lehtësues 1 </w:t>
            </w:r>
          </w:p>
          <w:p w14:paraId="197EDDB7" w14:textId="0B05D673" w:rsidR="00693DC5" w:rsidRPr="00743C76" w:rsidRDefault="00693DC5" w:rsidP="00693D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  <w:p w14:paraId="7EE10823" w14:textId="77777777" w:rsidR="00693DC5" w:rsidRPr="00743C76" w:rsidRDefault="00693DC5" w:rsidP="006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  <w:p w14:paraId="2B10596D" w14:textId="39EE0012" w:rsidR="00693DC5" w:rsidRPr="00743C76" w:rsidRDefault="00693DC5" w:rsidP="006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</w:tc>
        <w:tc>
          <w:tcPr>
            <w:tcW w:w="4387" w:type="dxa"/>
            <w:shd w:val="clear" w:color="auto" w:fill="E2EFD9" w:themeFill="accent6" w:themeFillTint="33"/>
          </w:tcPr>
          <w:p w14:paraId="780811C9" w14:textId="052F612F" w:rsidR="00693DC5" w:rsidRPr="00743C76" w:rsidRDefault="00693DC5" w:rsidP="00693DC5">
            <w:pPr>
              <w:tabs>
                <w:tab w:val="left" w:pos="370"/>
              </w:tabs>
              <w:spacing w:line="24" w:lineRule="atLeast"/>
              <w:ind w:left="-108" w:hanging="252"/>
              <w:jc w:val="both"/>
              <w:rPr>
                <w:rFonts w:ascii="Times New Roman" w:hAnsi="Times New Roman"/>
                <w:lang w:val="sq-AL" w:bidi="ar-DZ"/>
              </w:rPr>
            </w:pPr>
            <w:r w:rsidRPr="00743C76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Be</w:t>
            </w:r>
          </w:p>
          <w:p w14:paraId="26A52EB1" w14:textId="787BD108" w:rsidR="00693DC5" w:rsidRPr="00743C76" w:rsidRDefault="00693DC5" w:rsidP="00693DC5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743C76">
              <w:rPr>
                <w:rFonts w:ascii="Times New Roman" w:hAnsi="Times New Roman"/>
                <w:lang w:val="sq-AL" w:bidi="ar-DZ"/>
              </w:rPr>
              <w:t xml:space="preserve"> </w:t>
            </w:r>
          </w:p>
          <w:p w14:paraId="7CDCB642" w14:textId="1D1679C6" w:rsidR="00693DC5" w:rsidRPr="00743C76" w:rsidRDefault="00693DC5" w:rsidP="00693DC5">
            <w:pPr>
              <w:tabs>
                <w:tab w:val="left" w:pos="3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sq-AL"/>
              </w:rPr>
            </w:pPr>
          </w:p>
          <w:p w14:paraId="721B1EE7" w14:textId="77777777" w:rsidR="00693DC5" w:rsidRPr="00743C76" w:rsidRDefault="00693DC5" w:rsidP="00693DC5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sq-AL"/>
              </w:rPr>
            </w:pPr>
          </w:p>
          <w:p w14:paraId="2D43814B" w14:textId="157D6ED8" w:rsidR="00693DC5" w:rsidRPr="00743C76" w:rsidRDefault="00693DC5" w:rsidP="00693DC5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sq-AL"/>
              </w:rPr>
            </w:pPr>
          </w:p>
        </w:tc>
      </w:tr>
      <w:tr w:rsidR="00693DC5" w:rsidRPr="00743C76" w14:paraId="2333B21F" w14:textId="77777777" w:rsidTr="00E82B4E">
        <w:trPr>
          <w:trHeight w:val="593"/>
        </w:trPr>
        <w:tc>
          <w:tcPr>
            <w:tcW w:w="2242" w:type="dxa"/>
            <w:vMerge/>
            <w:shd w:val="clear" w:color="auto" w:fill="9999FF"/>
          </w:tcPr>
          <w:p w14:paraId="450DCD6B" w14:textId="3A48FCC9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263" w:type="dxa"/>
            <w:shd w:val="clear" w:color="auto" w:fill="9999FF"/>
          </w:tcPr>
          <w:p w14:paraId="3D8E6022" w14:textId="77777777" w:rsidR="00693DC5" w:rsidRPr="00743C76" w:rsidRDefault="00693DC5" w:rsidP="00693DC5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53" w:type="dxa"/>
            <w:shd w:val="clear" w:color="auto" w:fill="E2EFD9" w:themeFill="accent6" w:themeFillTint="33"/>
          </w:tcPr>
          <w:p w14:paraId="078086C7" w14:textId="3927B371" w:rsidR="00693DC5" w:rsidRPr="00743C76" w:rsidRDefault="00693DC5" w:rsidP="00693D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  <w:r w:rsidRPr="00743C76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Lehtësues 2</w:t>
            </w:r>
          </w:p>
          <w:p w14:paraId="1A0ABF29" w14:textId="218925F9" w:rsidR="00693DC5" w:rsidRPr="00743C76" w:rsidRDefault="00693DC5" w:rsidP="00693DC5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87" w:type="dxa"/>
            <w:shd w:val="clear" w:color="auto" w:fill="E2EFD9" w:themeFill="accent6" w:themeFillTint="33"/>
          </w:tcPr>
          <w:p w14:paraId="26851782" w14:textId="77777777" w:rsidR="00693DC5" w:rsidRPr="00743C76" w:rsidRDefault="00693DC5" w:rsidP="00693DC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q-AL"/>
              </w:rPr>
            </w:pPr>
          </w:p>
          <w:p w14:paraId="29545453" w14:textId="064D035E" w:rsidR="00693DC5" w:rsidRPr="00743C76" w:rsidRDefault="00693DC5" w:rsidP="00693DC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q-AL"/>
              </w:rPr>
            </w:pPr>
          </w:p>
        </w:tc>
      </w:tr>
      <w:tr w:rsidR="00693DC5" w:rsidRPr="00743C76" w14:paraId="3DC63BE6" w14:textId="77777777" w:rsidTr="00E82B4E">
        <w:trPr>
          <w:trHeight w:val="557"/>
        </w:trPr>
        <w:tc>
          <w:tcPr>
            <w:tcW w:w="2242" w:type="dxa"/>
            <w:vMerge/>
            <w:shd w:val="clear" w:color="auto" w:fill="9999FF"/>
          </w:tcPr>
          <w:p w14:paraId="20A0D968" w14:textId="2C31C563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263" w:type="dxa"/>
            <w:vMerge w:val="restart"/>
            <w:shd w:val="clear" w:color="auto" w:fill="9999FF"/>
          </w:tcPr>
          <w:p w14:paraId="55C12945" w14:textId="77777777" w:rsidR="00693DC5" w:rsidRPr="00743C76" w:rsidRDefault="00693DC5" w:rsidP="00693DC5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Vendimet që ka marrë në analizë</w:t>
            </w:r>
          </w:p>
        </w:tc>
        <w:tc>
          <w:tcPr>
            <w:tcW w:w="1553" w:type="dxa"/>
            <w:shd w:val="clear" w:color="auto" w:fill="CCCCFF"/>
          </w:tcPr>
          <w:p w14:paraId="7B0E201A" w14:textId="6A0F1B27" w:rsidR="00693DC5" w:rsidRPr="00743C76" w:rsidRDefault="00693DC5" w:rsidP="00693DC5">
            <w:pPr>
              <w:spacing w:line="276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Eksperti 1</w:t>
            </w:r>
          </w:p>
          <w:p w14:paraId="6D78D69F" w14:textId="25A3C044" w:rsidR="00693DC5" w:rsidRPr="00743C76" w:rsidRDefault="00693DC5" w:rsidP="00693D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wave"/>
                <w:lang w:val="sq-AL" w:eastAsia="en-GB"/>
              </w:rPr>
            </w:pPr>
          </w:p>
        </w:tc>
        <w:tc>
          <w:tcPr>
            <w:tcW w:w="4387" w:type="dxa"/>
            <w:shd w:val="clear" w:color="auto" w:fill="CCCCFF"/>
          </w:tcPr>
          <w:p w14:paraId="5AE3AE6A" w14:textId="77777777" w:rsidR="00693DC5" w:rsidRPr="00743C76" w:rsidRDefault="00693DC5" w:rsidP="00693D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4FCE70B2" w14:textId="664A1DC5" w:rsidR="00693DC5" w:rsidRPr="00743C76" w:rsidRDefault="00693DC5" w:rsidP="00693DC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693DC5" w:rsidRPr="00743C76" w14:paraId="7E9E862A" w14:textId="77777777" w:rsidTr="00E82B4E">
        <w:trPr>
          <w:trHeight w:val="548"/>
        </w:trPr>
        <w:tc>
          <w:tcPr>
            <w:tcW w:w="2242" w:type="dxa"/>
            <w:vMerge/>
            <w:shd w:val="clear" w:color="auto" w:fill="9999FF"/>
          </w:tcPr>
          <w:p w14:paraId="78F4BB38" w14:textId="77777777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263" w:type="dxa"/>
            <w:vMerge/>
            <w:shd w:val="clear" w:color="auto" w:fill="9999FF"/>
          </w:tcPr>
          <w:p w14:paraId="5FBF5D49" w14:textId="77777777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53" w:type="dxa"/>
            <w:shd w:val="clear" w:color="auto" w:fill="FFF2CC" w:themeFill="accent4" w:themeFillTint="33"/>
          </w:tcPr>
          <w:p w14:paraId="4B6AA2CB" w14:textId="689001D2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Ekspert 2</w:t>
            </w:r>
          </w:p>
          <w:p w14:paraId="3CD6B518" w14:textId="77777777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743C76">
              <w:rPr>
                <w:rFonts w:ascii="Times New Roman" w:hAnsi="Times New Roman" w:cs="Times New Roman"/>
                <w:b/>
                <w:bCs/>
                <w:lang w:val="sq-AL"/>
              </w:rPr>
              <w:t>Sokol PINA</w:t>
            </w:r>
          </w:p>
          <w:p w14:paraId="54F42774" w14:textId="72B5E74F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  <w:lang w:val="sq-AL"/>
              </w:rPr>
            </w:pPr>
          </w:p>
        </w:tc>
        <w:tc>
          <w:tcPr>
            <w:tcW w:w="4387" w:type="dxa"/>
            <w:shd w:val="clear" w:color="auto" w:fill="FFF2CC" w:themeFill="accent4" w:themeFillTint="33"/>
          </w:tcPr>
          <w:p w14:paraId="2C6A20DF" w14:textId="1582FFA7" w:rsidR="009F7416" w:rsidRPr="00743C76" w:rsidRDefault="00521796" w:rsidP="00693DC5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- </w:t>
            </w:r>
            <w:r w:rsidR="00B10E09">
              <w:rPr>
                <w:rFonts w:ascii="Times New Roman" w:hAnsi="Times New Roman" w:cs="Times New Roman"/>
                <w:lang w:val="sq-AL"/>
              </w:rPr>
              <w:t xml:space="preserve">Vendimi i Gjykatës Evropiane për të Drejtat e Njeriut, çështja </w:t>
            </w:r>
            <w:r w:rsidR="009F7416" w:rsidRPr="00743C76">
              <w:rPr>
                <w:rFonts w:ascii="Times New Roman" w:hAnsi="Times New Roman" w:cs="Times New Roman"/>
                <w:lang w:val="sq-AL"/>
              </w:rPr>
              <w:t>“Kikabidze kundër Gjeorgjisë”</w:t>
            </w:r>
            <w:r w:rsidR="00B10E09">
              <w:rPr>
                <w:rFonts w:ascii="Times New Roman" w:hAnsi="Times New Roman" w:cs="Times New Roman"/>
                <w:lang w:val="sq-AL"/>
              </w:rPr>
              <w:t>,</w:t>
            </w:r>
            <w:r w:rsidR="009F7416" w:rsidRPr="00743C76">
              <w:rPr>
                <w:rFonts w:ascii="Times New Roman" w:hAnsi="Times New Roman" w:cs="Times New Roman"/>
                <w:lang w:val="sq-AL"/>
              </w:rPr>
              <w:t xml:space="preserve"> aplikimi nr. 57642/12, datë 16.11.2021</w:t>
            </w:r>
            <w:r w:rsidR="00B10E09">
              <w:rPr>
                <w:rFonts w:ascii="Times New Roman" w:hAnsi="Times New Roman" w:cs="Times New Roman"/>
                <w:lang w:val="sq-AL"/>
              </w:rPr>
              <w:t>;</w:t>
            </w:r>
          </w:p>
          <w:p w14:paraId="547CDE4C" w14:textId="6D5D7C27" w:rsidR="00743C76" w:rsidRPr="00743C76" w:rsidRDefault="00521796" w:rsidP="00693DC5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- </w:t>
            </w:r>
            <w:r w:rsidR="00743C76" w:rsidRPr="00743C76">
              <w:rPr>
                <w:rFonts w:ascii="Times New Roman" w:hAnsi="Times New Roman" w:cs="Times New Roman"/>
                <w:lang w:val="sq-AL"/>
              </w:rPr>
              <w:t>Vendimi i Gjykatës së Lartë nr. 00-2021- 769/80, datë 09.11.2021</w:t>
            </w:r>
            <w:r w:rsidR="00B10E09">
              <w:rPr>
                <w:rFonts w:ascii="Times New Roman" w:hAnsi="Times New Roman" w:cs="Times New Roman"/>
                <w:lang w:val="sq-AL"/>
              </w:rPr>
              <w:t>;</w:t>
            </w:r>
          </w:p>
          <w:p w14:paraId="0233E54A" w14:textId="22551516" w:rsidR="00743C76" w:rsidRPr="00743C76" w:rsidRDefault="00521796" w:rsidP="00693DC5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- </w:t>
            </w:r>
            <w:r w:rsidR="00743C76" w:rsidRPr="00743C76">
              <w:rPr>
                <w:rFonts w:ascii="Times New Roman" w:hAnsi="Times New Roman" w:cs="Times New Roman"/>
                <w:lang w:val="sq-AL"/>
              </w:rPr>
              <w:t>Vendimi unifikues i Gjykatës së Lartë, nr. 10, datë 24.03.2004;</w:t>
            </w:r>
          </w:p>
          <w:p w14:paraId="44CA93C3" w14:textId="456C4FD6" w:rsidR="009F7416" w:rsidRPr="00743C76" w:rsidRDefault="00521796" w:rsidP="00693DC5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- </w:t>
            </w:r>
            <w:r w:rsidR="009F7416" w:rsidRPr="00743C76">
              <w:rPr>
                <w:rFonts w:ascii="Times New Roman" w:hAnsi="Times New Roman" w:cs="Times New Roman"/>
                <w:lang w:val="sq-AL"/>
              </w:rPr>
              <w:t>Vendimi nr. 30-2024-982/372, datë 16.02.2024 i Gjykatës së Apelit të Juridiksionit të Përgjithshëm</w:t>
            </w:r>
            <w:r w:rsidR="00743C76" w:rsidRPr="00743C76">
              <w:rPr>
                <w:rFonts w:ascii="Times New Roman" w:hAnsi="Times New Roman" w:cs="Times New Roman"/>
                <w:lang w:val="sq-AL"/>
              </w:rPr>
              <w:t>;</w:t>
            </w:r>
          </w:p>
          <w:p w14:paraId="2920768F" w14:textId="0E7CEE43" w:rsidR="009F7416" w:rsidRPr="00743C76" w:rsidRDefault="00521796" w:rsidP="00693DC5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- </w:t>
            </w:r>
            <w:r w:rsidR="009F7416" w:rsidRPr="00743C76">
              <w:rPr>
                <w:rFonts w:ascii="Times New Roman" w:hAnsi="Times New Roman" w:cs="Times New Roman"/>
                <w:lang w:val="sq-AL"/>
              </w:rPr>
              <w:t xml:space="preserve">Vendimi </w:t>
            </w:r>
            <w:r w:rsidR="00743C76" w:rsidRPr="00743C76">
              <w:rPr>
                <w:rFonts w:ascii="Times New Roman" w:hAnsi="Times New Roman" w:cs="Times New Roman"/>
                <w:lang w:val="sq-AL"/>
              </w:rPr>
              <w:t xml:space="preserve">nr. </w:t>
            </w:r>
            <w:r w:rsidR="009F7416" w:rsidRPr="00743C76">
              <w:rPr>
                <w:rFonts w:ascii="Times New Roman" w:hAnsi="Times New Roman" w:cs="Times New Roman"/>
                <w:lang w:val="sq-AL"/>
              </w:rPr>
              <w:t>10-2022-1406/249, datë 27.09.2022 i Gjykatës së Apelit Durrës</w:t>
            </w:r>
            <w:r w:rsidR="00743C76" w:rsidRPr="00743C76">
              <w:rPr>
                <w:rFonts w:ascii="Times New Roman" w:hAnsi="Times New Roman" w:cs="Times New Roman"/>
                <w:lang w:val="sq-AL"/>
              </w:rPr>
              <w:t>;</w:t>
            </w:r>
          </w:p>
          <w:p w14:paraId="0559047A" w14:textId="0074C8A9" w:rsidR="009F7416" w:rsidRPr="00743C76" w:rsidRDefault="00521796" w:rsidP="00693DC5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- </w:t>
            </w:r>
            <w:r w:rsidR="009F7416" w:rsidRPr="00743C76">
              <w:rPr>
                <w:rFonts w:ascii="Times New Roman" w:hAnsi="Times New Roman" w:cs="Times New Roman"/>
                <w:lang w:val="sq-AL"/>
              </w:rPr>
              <w:t>Vendimi</w:t>
            </w:r>
            <w:r w:rsidR="00743C76" w:rsidRPr="00743C76">
              <w:rPr>
                <w:rFonts w:ascii="Times New Roman" w:hAnsi="Times New Roman" w:cs="Times New Roman"/>
                <w:lang w:val="sq-AL"/>
              </w:rPr>
              <w:t xml:space="preserve"> nr.</w:t>
            </w:r>
            <w:r w:rsidR="009F7416" w:rsidRPr="00743C76">
              <w:rPr>
                <w:rFonts w:ascii="Times New Roman" w:hAnsi="Times New Roman" w:cs="Times New Roman"/>
                <w:lang w:val="sq-AL"/>
              </w:rPr>
              <w:t xml:space="preserve"> 1146, datë 20.07.2023 i Gjykatës së Apelit të Juridiksionit të Përgjithshëm</w:t>
            </w:r>
            <w:r w:rsidR="00743C76" w:rsidRPr="00743C76">
              <w:rPr>
                <w:rFonts w:ascii="Times New Roman" w:hAnsi="Times New Roman" w:cs="Times New Roman"/>
                <w:lang w:val="sq-AL"/>
              </w:rPr>
              <w:t>;</w:t>
            </w:r>
          </w:p>
          <w:p w14:paraId="08141893" w14:textId="6A6639B9" w:rsidR="00743C76" w:rsidRPr="00743C76" w:rsidRDefault="00521796" w:rsidP="00743C76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- </w:t>
            </w:r>
            <w:r w:rsidR="00743C76" w:rsidRPr="00743C76">
              <w:rPr>
                <w:rFonts w:ascii="Times New Roman" w:hAnsi="Times New Roman" w:cs="Times New Roman"/>
                <w:lang w:val="sq-AL"/>
              </w:rPr>
              <w:t>Vendimi nr. 30-2023-7714/984, datë</w:t>
            </w:r>
            <w:r w:rsidR="009657EC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743C76" w:rsidRPr="00743C76">
              <w:rPr>
                <w:rFonts w:ascii="Times New Roman" w:hAnsi="Times New Roman" w:cs="Times New Roman"/>
                <w:lang w:val="sq-AL"/>
              </w:rPr>
              <w:t>19.12.2023 i Gjykatës së Apelit të Juridiksionit të Përgjithshëm.</w:t>
            </w:r>
          </w:p>
          <w:p w14:paraId="359A6196" w14:textId="1F3AACF6" w:rsidR="009F7416" w:rsidRPr="00743C76" w:rsidRDefault="009F7416" w:rsidP="00693DC5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693DC5" w:rsidRPr="00743C76" w14:paraId="001A49E8" w14:textId="77777777" w:rsidTr="00E82B4E">
        <w:trPr>
          <w:trHeight w:val="602"/>
        </w:trPr>
        <w:tc>
          <w:tcPr>
            <w:tcW w:w="2242" w:type="dxa"/>
            <w:vMerge/>
            <w:shd w:val="clear" w:color="auto" w:fill="9999FF"/>
          </w:tcPr>
          <w:p w14:paraId="228DEED3" w14:textId="77777777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263" w:type="dxa"/>
            <w:vMerge/>
            <w:shd w:val="clear" w:color="auto" w:fill="9999FF"/>
          </w:tcPr>
          <w:p w14:paraId="3A0FC7FB" w14:textId="77777777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53" w:type="dxa"/>
            <w:shd w:val="clear" w:color="auto" w:fill="E2EFD9" w:themeFill="accent6" w:themeFillTint="33"/>
          </w:tcPr>
          <w:p w14:paraId="0A77ABEC" w14:textId="0E56480A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743C76">
              <w:rPr>
                <w:rFonts w:ascii="Times New Roman" w:hAnsi="Times New Roman" w:cs="Times New Roman"/>
                <w:lang w:val="sq-AL"/>
              </w:rPr>
              <w:t>Lehtësues 1</w:t>
            </w:r>
          </w:p>
          <w:p w14:paraId="2C0B3801" w14:textId="2D802FA8" w:rsidR="00693DC5" w:rsidRPr="00743C76" w:rsidRDefault="00693DC5" w:rsidP="00693DC5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87" w:type="dxa"/>
            <w:shd w:val="clear" w:color="auto" w:fill="E2EFD9" w:themeFill="accent6" w:themeFillTint="33"/>
          </w:tcPr>
          <w:p w14:paraId="48081F34" w14:textId="168065B4" w:rsidR="00693DC5" w:rsidRPr="00743C76" w:rsidRDefault="00693DC5" w:rsidP="00693DC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AA1EDCC" w14:textId="66205391" w:rsidR="00693DC5" w:rsidRPr="00743C76" w:rsidRDefault="00693DC5" w:rsidP="00693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695498D" w14:textId="7320B8E3" w:rsidR="00693DC5" w:rsidRPr="00743C76" w:rsidRDefault="00693DC5" w:rsidP="00693DC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0AC40D1" w14:textId="77777777" w:rsidR="00693DC5" w:rsidRPr="00743C76" w:rsidRDefault="00693DC5" w:rsidP="00693DC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5704BD7" w14:textId="0A04BD9B" w:rsidR="00693DC5" w:rsidRPr="00743C76" w:rsidRDefault="00693DC5" w:rsidP="00693DC5">
            <w:pPr>
              <w:rPr>
                <w:rFonts w:ascii="Times New Roman" w:hAnsi="Times New Roman" w:cs="Times New Roman"/>
                <w:color w:val="FF0000"/>
                <w:lang w:val="sq-AL"/>
              </w:rPr>
            </w:pPr>
          </w:p>
        </w:tc>
      </w:tr>
    </w:tbl>
    <w:p w14:paraId="0B91F1BF" w14:textId="77777777" w:rsidR="00B84968" w:rsidRPr="00743C76" w:rsidRDefault="00B84968" w:rsidP="00D043D9">
      <w:pPr>
        <w:rPr>
          <w:rFonts w:ascii="Times New Roman" w:hAnsi="Times New Roman" w:cs="Times New Roman"/>
          <w:lang w:val="sq-AL"/>
        </w:rPr>
      </w:pPr>
    </w:p>
    <w:p w14:paraId="78F3E328" w14:textId="77777777" w:rsidR="00A31582" w:rsidRPr="00743C76" w:rsidRDefault="00A31582" w:rsidP="00900D85">
      <w:pPr>
        <w:rPr>
          <w:rFonts w:ascii="Times New Roman" w:hAnsi="Times New Roman" w:cs="Times New Roman"/>
          <w:lang w:val="sq-AL"/>
        </w:rPr>
      </w:pPr>
    </w:p>
    <w:p w14:paraId="3F5E7BA5" w14:textId="6CA5C045" w:rsidR="00631A50" w:rsidRPr="00743C76" w:rsidRDefault="00631A50" w:rsidP="00900D85">
      <w:pPr>
        <w:rPr>
          <w:rFonts w:ascii="Times New Roman" w:eastAsia="Times New Roman" w:hAnsi="Times New Roman" w:cs="Times New Roman"/>
          <w:sz w:val="24"/>
          <w:szCs w:val="24"/>
          <w:u w:val="wave"/>
          <w:lang w:val="sq-AL" w:eastAsia="en-GB"/>
        </w:rPr>
      </w:pPr>
      <w:r w:rsidRPr="00743C76">
        <w:rPr>
          <w:rFonts w:ascii="Times New Roman" w:hAnsi="Times New Roman" w:cs="Times New Roman"/>
          <w:sz w:val="24"/>
          <w:szCs w:val="24"/>
          <w:lang w:val="sq-AL"/>
        </w:rPr>
        <w:t>Ekspert</w:t>
      </w:r>
      <w:r w:rsidR="00325369" w:rsidRPr="00743C76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900D85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5C7B88" w:rsidRPr="00743C76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F73817" w:rsidRPr="00743C76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73817" w:rsidRPr="00743C7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73817" w:rsidRPr="00743C7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00D85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               </w:t>
      </w:r>
      <w:r w:rsidR="00325369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EF293E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53522A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D9675B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F73817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D9675B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00D85" w:rsidRPr="00743C76">
        <w:rPr>
          <w:rFonts w:ascii="Times New Roman" w:hAnsi="Times New Roman" w:cs="Times New Roman"/>
          <w:sz w:val="24"/>
          <w:szCs w:val="24"/>
          <w:lang w:val="sq-AL"/>
        </w:rPr>
        <w:t>(firma) ____________</w:t>
      </w:r>
    </w:p>
    <w:p w14:paraId="51255566" w14:textId="03F97A13" w:rsidR="0065639C" w:rsidRPr="00743C76" w:rsidRDefault="003E2D72" w:rsidP="00CC5547">
      <w:pPr>
        <w:rPr>
          <w:rFonts w:ascii="Times New Roman" w:hAnsi="Times New Roman" w:cs="Times New Roman"/>
          <w:sz w:val="24"/>
          <w:szCs w:val="24"/>
          <w:u w:val="wave"/>
          <w:lang w:val="sq-AL"/>
        </w:rPr>
      </w:pPr>
      <w:r w:rsidRPr="00743C76">
        <w:rPr>
          <w:rFonts w:ascii="Times New Roman" w:hAnsi="Times New Roman" w:cs="Times New Roman"/>
          <w:sz w:val="24"/>
          <w:szCs w:val="24"/>
          <w:lang w:val="sq-AL"/>
        </w:rPr>
        <w:t>Ekspert</w:t>
      </w:r>
      <w:r w:rsidR="00EF293E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5C7B88" w:rsidRPr="00743C76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900D85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5C7B88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</w:t>
      </w:r>
      <w:r w:rsidR="00D043D9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53522A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D9675B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73817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F73817" w:rsidRPr="00743C7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73817" w:rsidRPr="00743C76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</w:t>
      </w:r>
      <w:r w:rsidR="00900D85" w:rsidRPr="00743C76">
        <w:rPr>
          <w:rFonts w:ascii="Times New Roman" w:hAnsi="Times New Roman" w:cs="Times New Roman"/>
          <w:sz w:val="24"/>
          <w:szCs w:val="24"/>
          <w:lang w:val="sq-AL"/>
        </w:rPr>
        <w:t>(firma) ____________</w:t>
      </w:r>
      <w:r w:rsidR="00F73817" w:rsidRPr="00743C7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73817" w:rsidRPr="00743C76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3580BEE6" w14:textId="7D6AE615" w:rsidR="009F456C" w:rsidRPr="00743C76" w:rsidRDefault="009F456C" w:rsidP="00CC5547">
      <w:pPr>
        <w:rPr>
          <w:rFonts w:ascii="Times New Roman" w:hAnsi="Times New Roman" w:cs="Times New Roman"/>
          <w:lang w:val="sq-AL"/>
        </w:rPr>
      </w:pPr>
      <w:r w:rsidRPr="00743C76">
        <w:rPr>
          <w:rFonts w:ascii="Times New Roman" w:hAnsi="Times New Roman" w:cs="Times New Roman"/>
          <w:sz w:val="24"/>
          <w:szCs w:val="24"/>
          <w:lang w:val="sq-AL"/>
        </w:rPr>
        <w:t>Leht</w:t>
      </w:r>
      <w:r w:rsidR="00355CC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sues, </w:t>
      </w:r>
      <w:r w:rsidR="0014629C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z. </w:t>
      </w:r>
      <w:r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</w:t>
      </w:r>
      <w:r w:rsidR="00F73817"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Pr="00743C76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6D4481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Pr="00743C76">
        <w:rPr>
          <w:rFonts w:ascii="Times New Roman" w:hAnsi="Times New Roman" w:cs="Times New Roman"/>
          <w:sz w:val="24"/>
          <w:szCs w:val="24"/>
          <w:lang w:val="sq-AL"/>
        </w:rPr>
        <w:t>(firma) ____________</w:t>
      </w:r>
    </w:p>
    <w:sectPr w:rsidR="009F456C" w:rsidRPr="00743C76" w:rsidSect="00656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7EBA4" w14:textId="77777777" w:rsidR="009365CB" w:rsidRDefault="009365CB" w:rsidP="009634CD">
      <w:pPr>
        <w:spacing w:after="0" w:line="240" w:lineRule="auto"/>
      </w:pPr>
      <w:r>
        <w:separator/>
      </w:r>
    </w:p>
  </w:endnote>
  <w:endnote w:type="continuationSeparator" w:id="0">
    <w:p w14:paraId="21986234" w14:textId="77777777" w:rsidR="009365CB" w:rsidRDefault="009365CB" w:rsidP="0096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1B3B2" w14:textId="77777777" w:rsidR="009365CB" w:rsidRDefault="009365CB" w:rsidP="009634CD">
      <w:pPr>
        <w:spacing w:after="0" w:line="240" w:lineRule="auto"/>
      </w:pPr>
      <w:r>
        <w:separator/>
      </w:r>
    </w:p>
  </w:footnote>
  <w:footnote w:type="continuationSeparator" w:id="0">
    <w:p w14:paraId="0BE4DE0B" w14:textId="77777777" w:rsidR="009365CB" w:rsidRDefault="009365CB" w:rsidP="009634CD">
      <w:pPr>
        <w:spacing w:after="0" w:line="240" w:lineRule="auto"/>
      </w:pPr>
      <w:r>
        <w:continuationSeparator/>
      </w:r>
    </w:p>
  </w:footnote>
  <w:footnote w:id="1">
    <w:p w14:paraId="03FFE462" w14:textId="77777777" w:rsidR="009B77D1" w:rsidRDefault="009B77D1" w:rsidP="006563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matricë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plotësohet</w:t>
      </w:r>
      <w:proofErr w:type="spellEnd"/>
      <w:r>
        <w:t xml:space="preserve"> </w:t>
      </w:r>
      <w:proofErr w:type="spellStart"/>
      <w:r>
        <w:t>bashkërisht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paneli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aktivitetit</w:t>
      </w:r>
      <w:proofErr w:type="spellEnd"/>
      <w:r>
        <w:t xml:space="preserve"> </w:t>
      </w:r>
      <w:proofErr w:type="spellStart"/>
      <w:r>
        <w:t>trajnues</w:t>
      </w:r>
      <w:proofErr w:type="spellEnd"/>
      <w:r w:rsidR="005E6BE7">
        <w:t xml:space="preserve">, </w:t>
      </w:r>
      <w:proofErr w:type="spellStart"/>
      <w:r w:rsidR="005E6BE7">
        <w:t>përpara</w:t>
      </w:r>
      <w:proofErr w:type="spellEnd"/>
      <w:r w:rsidR="005E6BE7">
        <w:t xml:space="preserve"> </w:t>
      </w:r>
      <w:proofErr w:type="spellStart"/>
      <w:r w:rsidR="005E6BE7">
        <w:t>zhvillimit</w:t>
      </w:r>
      <w:proofErr w:type="spellEnd"/>
      <w:r w:rsidR="005E6BE7">
        <w:t xml:space="preserve"> </w:t>
      </w:r>
      <w:proofErr w:type="spellStart"/>
      <w:r w:rsidR="005E6BE7">
        <w:t>të</w:t>
      </w:r>
      <w:proofErr w:type="spellEnd"/>
      <w:r w:rsidR="005E6BE7">
        <w:t xml:space="preserve"> </w:t>
      </w:r>
      <w:proofErr w:type="spellStart"/>
      <w:r w:rsidR="005E6BE7">
        <w:t>aktivitetit</w:t>
      </w:r>
      <w:proofErr w:type="spellEnd"/>
      <w:r w:rsidR="005E6BE7">
        <w:t>,</w:t>
      </w:r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</w:t>
      </w:r>
      <w:r w:rsidR="0065639C">
        <w:t>ë</w:t>
      </w:r>
      <w:r>
        <w:t>r</w:t>
      </w:r>
      <w:proofErr w:type="spellEnd"/>
      <w:r>
        <w:t xml:space="preserve"> </w:t>
      </w:r>
      <w:proofErr w:type="spellStart"/>
      <w:r>
        <w:t>q</w:t>
      </w:r>
      <w:r w:rsidR="0065639C">
        <w:t>ë</w:t>
      </w:r>
      <w:r>
        <w:t>llim</w:t>
      </w:r>
      <w:proofErr w:type="spellEnd"/>
      <w:r>
        <w:t xml:space="preserve"> </w:t>
      </w:r>
      <w:proofErr w:type="spellStart"/>
      <w:r>
        <w:t>t</w:t>
      </w:r>
      <w:r w:rsidR="0065639C">
        <w:t>ë</w:t>
      </w:r>
      <w:proofErr w:type="spellEnd"/>
      <w:r>
        <w:t xml:space="preserve"> </w:t>
      </w:r>
      <w:proofErr w:type="spellStart"/>
      <w:r>
        <w:t>ofroj</w:t>
      </w:r>
      <w:r w:rsidR="0065639C">
        <w:t>ë</w:t>
      </w:r>
      <w:proofErr w:type="spellEnd"/>
      <w:r>
        <w:t xml:space="preserve"> </w:t>
      </w:r>
      <w:proofErr w:type="spellStart"/>
      <w:r>
        <w:t>nj</w:t>
      </w:r>
      <w:r w:rsidR="0065639C">
        <w:t>ë</w:t>
      </w:r>
      <w:proofErr w:type="spellEnd"/>
      <w:r>
        <w:t xml:space="preserve"> </w:t>
      </w:r>
      <w:proofErr w:type="spellStart"/>
      <w:r>
        <w:t>pasqyr</w:t>
      </w:r>
      <w:r w:rsidR="0065639C">
        <w:t>ë</w:t>
      </w:r>
      <w:proofErr w:type="spellEnd"/>
      <w:r>
        <w:t xml:space="preserve"> </w:t>
      </w:r>
      <w:proofErr w:type="spellStart"/>
      <w:r>
        <w:t>t</w:t>
      </w:r>
      <w:r w:rsidR="0065639C">
        <w:t>ë</w:t>
      </w:r>
      <w:proofErr w:type="spellEnd"/>
      <w:r>
        <w:t xml:space="preserve"> </w:t>
      </w:r>
      <w:proofErr w:type="spellStart"/>
      <w:r>
        <w:t>qart</w:t>
      </w:r>
      <w:r w:rsidR="0065639C">
        <w:t>ë</w:t>
      </w:r>
      <w:proofErr w:type="spellEnd"/>
      <w:r>
        <w:t xml:space="preserve"> </w:t>
      </w:r>
      <w:proofErr w:type="spellStart"/>
      <w:r>
        <w:t>t</w:t>
      </w:r>
      <w:r w:rsidR="0065639C">
        <w:t>ë</w:t>
      </w:r>
      <w:proofErr w:type="spellEnd"/>
      <w:r w:rsidR="00900D85">
        <w:t xml:space="preserve"> </w:t>
      </w:r>
      <w:proofErr w:type="spellStart"/>
      <w:r w:rsidR="00900D85">
        <w:t>ç</w:t>
      </w:r>
      <w:r w:rsidR="0065639C">
        <w:t>ë</w:t>
      </w:r>
      <w:r w:rsidR="00900D85">
        <w:t>s</w:t>
      </w:r>
      <w:r>
        <w:t>htjeve</w:t>
      </w:r>
      <w:proofErr w:type="spellEnd"/>
      <w:r>
        <w:t xml:space="preserve"> </w:t>
      </w:r>
      <w:proofErr w:type="spellStart"/>
      <w:r>
        <w:t>q</w:t>
      </w:r>
      <w:r w:rsidR="0065639C">
        <w:t>ë</w:t>
      </w:r>
      <w:proofErr w:type="spellEnd"/>
      <w:r>
        <w:t xml:space="preserve"> do </w:t>
      </w:r>
      <w:proofErr w:type="spellStart"/>
      <w:r>
        <w:t>t</w:t>
      </w:r>
      <w:r w:rsidR="0065639C">
        <w:t>ë</w:t>
      </w:r>
      <w:proofErr w:type="spellEnd"/>
      <w:r>
        <w:t xml:space="preserve"> </w:t>
      </w:r>
      <w:proofErr w:type="spellStart"/>
      <w:r>
        <w:t>trajtohen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objektivave</w:t>
      </w:r>
      <w:proofErr w:type="spellEnd"/>
      <w:r>
        <w:t xml:space="preserve">, </w:t>
      </w:r>
      <w:proofErr w:type="spellStart"/>
      <w:r>
        <w:t>kompetencave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aft</w:t>
      </w:r>
      <w:r w:rsidR="0065639C">
        <w:t>ë</w:t>
      </w:r>
      <w:r>
        <w:t>sive</w:t>
      </w:r>
      <w:proofErr w:type="spellEnd"/>
      <w:r>
        <w:t xml:space="preserve"> </w:t>
      </w:r>
      <w:proofErr w:type="spellStart"/>
      <w:r>
        <w:t>q</w:t>
      </w:r>
      <w:r w:rsidR="0065639C">
        <w:t>ë</w:t>
      </w:r>
      <w:proofErr w:type="spellEnd"/>
      <w:r>
        <w:t xml:space="preserve"> </w:t>
      </w:r>
      <w:proofErr w:type="spellStart"/>
      <w:r>
        <w:t>synohet</w:t>
      </w:r>
      <w:proofErr w:type="spellEnd"/>
      <w:r>
        <w:t xml:space="preserve"> </w:t>
      </w:r>
      <w:proofErr w:type="spellStart"/>
      <w:r>
        <w:t>t</w:t>
      </w:r>
      <w:r w:rsidR="0065639C">
        <w:t>ë</w:t>
      </w:r>
      <w:proofErr w:type="spellEnd"/>
      <w:r>
        <w:t xml:space="preserve"> </w:t>
      </w:r>
      <w:proofErr w:type="spellStart"/>
      <w:r>
        <w:t>p</w:t>
      </w:r>
      <w:r w:rsidR="0065639C">
        <w:t>ë</w:t>
      </w:r>
      <w:r>
        <w:t>rcillen</w:t>
      </w:r>
      <w:proofErr w:type="spellEnd"/>
      <w:r>
        <w:t xml:space="preserve"> </w:t>
      </w:r>
      <w:proofErr w:type="spellStart"/>
      <w:r>
        <w:t>n</w:t>
      </w:r>
      <w:r w:rsidR="0065639C">
        <w:t>ë</w:t>
      </w:r>
      <w:proofErr w:type="spellEnd"/>
      <w:r>
        <w:t xml:space="preserve"> </w:t>
      </w:r>
      <w:proofErr w:type="spellStart"/>
      <w:r>
        <w:t>k</w:t>
      </w:r>
      <w:r w:rsidR="0065639C">
        <w:t>ë</w:t>
      </w:r>
      <w:r>
        <w:t>t</w:t>
      </w:r>
      <w:r w:rsidR="0065639C">
        <w:t>ë</w:t>
      </w:r>
      <w:proofErr w:type="spellEnd"/>
      <w:r>
        <w:t xml:space="preserve"> </w:t>
      </w:r>
      <w:proofErr w:type="spellStart"/>
      <w:r>
        <w:t>aktivitet</w:t>
      </w:r>
      <w:proofErr w:type="spellEnd"/>
      <w:r>
        <w:t xml:space="preserve">. </w:t>
      </w:r>
      <w:proofErr w:type="spellStart"/>
      <w:r>
        <w:t>Matrica</w:t>
      </w:r>
      <w:proofErr w:type="spellEnd"/>
      <w:r>
        <w:t xml:space="preserve"> do </w:t>
      </w:r>
      <w:proofErr w:type="spellStart"/>
      <w:r>
        <w:t>tiu</w:t>
      </w:r>
      <w:proofErr w:type="spellEnd"/>
      <w:r>
        <w:t xml:space="preserve"> </w:t>
      </w:r>
      <w:proofErr w:type="spellStart"/>
      <w:r>
        <w:t>d</w:t>
      </w:r>
      <w:r w:rsidR="0065639C">
        <w:t>ë</w:t>
      </w:r>
      <w:r>
        <w:t>rgohet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pjes</w:t>
      </w:r>
      <w:r w:rsidR="0065639C">
        <w:t>ë</w:t>
      </w:r>
      <w:r>
        <w:t>mar</w:t>
      </w:r>
      <w:r w:rsidR="0065639C">
        <w:t>ë</w:t>
      </w:r>
      <w:r>
        <w:t>sve</w:t>
      </w:r>
      <w:proofErr w:type="spellEnd"/>
      <w:r>
        <w:t xml:space="preserve"> </w:t>
      </w:r>
      <w:proofErr w:type="spellStart"/>
      <w:r>
        <w:t>t</w:t>
      </w:r>
      <w:r w:rsidR="0065639C">
        <w:t>ë</w:t>
      </w:r>
      <w:proofErr w:type="spellEnd"/>
      <w:r>
        <w:t xml:space="preserve"> </w:t>
      </w:r>
      <w:proofErr w:type="spellStart"/>
      <w:r>
        <w:t>konfirmuar</w:t>
      </w:r>
      <w:proofErr w:type="spellEnd"/>
      <w:r>
        <w:t xml:space="preserve"> </w:t>
      </w:r>
      <w:proofErr w:type="spellStart"/>
      <w:r>
        <w:t>n</w:t>
      </w:r>
      <w:r w:rsidR="0065639C">
        <w:t>ë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, </w:t>
      </w:r>
      <w:proofErr w:type="spellStart"/>
      <w:r>
        <w:t>s</w:t>
      </w:r>
      <w:r w:rsidR="0065639C">
        <w:t>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materialet</w:t>
      </w:r>
      <w:proofErr w:type="spellEnd"/>
      <w:r>
        <w:t xml:space="preserve"> e </w:t>
      </w:r>
      <w:proofErr w:type="spellStart"/>
      <w:r>
        <w:t>trajnimit</w:t>
      </w:r>
      <w:proofErr w:type="spellEnd"/>
      <w:r>
        <w:t xml:space="preserve">, </w:t>
      </w:r>
      <w:proofErr w:type="spellStart"/>
      <w:r>
        <w:t>agjend</w:t>
      </w:r>
      <w:r w:rsidR="0065639C">
        <w:t>ë</w:t>
      </w:r>
      <w:r w:rsidR="00900D85">
        <w:t>n</w:t>
      </w:r>
      <w:proofErr w:type="spellEnd"/>
      <w:r w:rsidR="00900D85">
        <w:t xml:space="preserve"> </w:t>
      </w:r>
      <w:proofErr w:type="spellStart"/>
      <w:r w:rsidR="00900D85">
        <w:t>dhe</w:t>
      </w:r>
      <w:proofErr w:type="spellEnd"/>
      <w:r w:rsidR="00900D85">
        <w:t xml:space="preserve"> </w:t>
      </w:r>
      <w:proofErr w:type="spellStart"/>
      <w:r w:rsidR="00900D85">
        <w:t>ushtrimet</w:t>
      </w:r>
      <w:proofErr w:type="spellEnd"/>
      <w:r w:rsidR="00900D85">
        <w:t>/</w:t>
      </w:r>
      <w:proofErr w:type="spellStart"/>
      <w:r w:rsidR="00900D85">
        <w:t>rastet</w:t>
      </w:r>
      <w:proofErr w:type="spellEnd"/>
      <w:r w:rsidR="00900D85">
        <w:t xml:space="preserve"> </w:t>
      </w:r>
      <w:proofErr w:type="spellStart"/>
      <w:r w:rsidR="00900D85">
        <w:t>praktike</w:t>
      </w:r>
      <w:proofErr w:type="spellEnd"/>
      <w:r w:rsidR="00900D85">
        <w:t>;</w:t>
      </w:r>
    </w:p>
  </w:footnote>
  <w:footnote w:id="2">
    <w:p w14:paraId="0AE9294B" w14:textId="77777777" w:rsidR="0065639C" w:rsidRDefault="0065639C" w:rsidP="0065639C">
      <w:pPr>
        <w:pStyle w:val="FootnoteText"/>
        <w:jc w:val="both"/>
      </w:pPr>
      <w:r>
        <w:rPr>
          <w:rStyle w:val="FootnoteReference"/>
        </w:rPr>
        <w:footnoteRef/>
      </w:r>
      <w:r w:rsidR="00900D85">
        <w:t xml:space="preserve"> </w:t>
      </w:r>
      <w:proofErr w:type="spellStart"/>
      <w:r w:rsidR="00900D85">
        <w:t>Ekspertët</w:t>
      </w:r>
      <w:proofErr w:type="spellEnd"/>
      <w:r w:rsidR="00900D85">
        <w:t xml:space="preserve"> </w:t>
      </w:r>
      <w:proofErr w:type="spellStart"/>
      <w:r w:rsidR="00900D85">
        <w:t>dhe</w:t>
      </w:r>
      <w:proofErr w:type="spellEnd"/>
      <w:r w:rsidR="00900D85">
        <w:t xml:space="preserve"> </w:t>
      </w:r>
      <w:proofErr w:type="spellStart"/>
      <w:r w:rsidR="00900D85">
        <w:t>lehtësuesi</w:t>
      </w:r>
      <w:proofErr w:type="spellEnd"/>
      <w:r w:rsidR="00900D85">
        <w:t xml:space="preserve"> </w:t>
      </w:r>
      <w:proofErr w:type="spellStart"/>
      <w:r>
        <w:t>përcaktoj</w:t>
      </w:r>
      <w:r w:rsidR="00900D85">
        <w:t>n</w:t>
      </w:r>
      <w:r>
        <w:t>ë</w:t>
      </w:r>
      <w:proofErr w:type="spellEnd"/>
      <w:r>
        <w:t xml:space="preserve"> </w:t>
      </w:r>
      <w:proofErr w:type="spellStart"/>
      <w:r>
        <w:t>objektivin</w:t>
      </w:r>
      <w:proofErr w:type="spellEnd"/>
      <w:r>
        <w:t xml:space="preserve"> </w:t>
      </w:r>
      <w:proofErr w:type="spellStart"/>
      <w:r>
        <w:t>kryesor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tërësi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ekspertizës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objektiv</w:t>
      </w:r>
      <w:proofErr w:type="spellEnd"/>
      <w:r>
        <w:t xml:space="preserve"> </w:t>
      </w:r>
      <w:proofErr w:type="spellStart"/>
      <w:r>
        <w:t>kryesor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specifik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përcaktojë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atë</w:t>
      </w:r>
      <w:proofErr w:type="spellEnd"/>
      <w:r w:rsidR="00900D85">
        <w:t xml:space="preserve"> </w:t>
      </w:r>
      <w:proofErr w:type="spellStart"/>
      <w:r w:rsidR="00900D85">
        <w:t>objektiv</w:t>
      </w:r>
      <w:proofErr w:type="spellEnd"/>
      <w:r w:rsidR="00900D85">
        <w:t>;</w:t>
      </w:r>
    </w:p>
  </w:footnote>
  <w:footnote w:id="3">
    <w:p w14:paraId="2DE1E3BC" w14:textId="77777777" w:rsidR="0065639C" w:rsidRDefault="0065639C" w:rsidP="006563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="00900D85">
        <w:t>E</w:t>
      </w:r>
      <w:r>
        <w:t>ksperti</w:t>
      </w:r>
      <w:proofErr w:type="spellEnd"/>
      <w:r>
        <w:t xml:space="preserve"> </w:t>
      </w:r>
      <w:proofErr w:type="spellStart"/>
      <w:r w:rsidR="00900D85">
        <w:t>ndan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temën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trajtojë</w:t>
      </w:r>
      <w:proofErr w:type="spellEnd"/>
      <w:r>
        <w:t>;</w:t>
      </w:r>
    </w:p>
  </w:footnote>
  <w:footnote w:id="4">
    <w:p w14:paraId="4DEA73B2" w14:textId="77777777" w:rsidR="00304606" w:rsidRDefault="00304606" w:rsidP="006563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</w:t>
      </w:r>
      <w:r w:rsidRPr="0065639C">
        <w:t>ksperti</w:t>
      </w:r>
      <w:proofErr w:type="spellEnd"/>
      <w:r w:rsidRPr="0065639C">
        <w:t xml:space="preserve"> </w:t>
      </w:r>
      <w:proofErr w:type="spellStart"/>
      <w:r w:rsidRPr="0065639C">
        <w:t>pë</w:t>
      </w:r>
      <w:r>
        <w:t>rcakton</w:t>
      </w:r>
      <w:proofErr w:type="spellEnd"/>
      <w:r w:rsidRPr="0065639C">
        <w:t xml:space="preserve"> </w:t>
      </w:r>
      <w:proofErr w:type="spellStart"/>
      <w:r w:rsidRPr="0065639C">
        <w:t>paraprakisht</w:t>
      </w:r>
      <w:proofErr w:type="spellEnd"/>
      <w:r w:rsidRPr="0065639C">
        <w:t xml:space="preserve"> </w:t>
      </w:r>
      <w:proofErr w:type="spellStart"/>
      <w:r w:rsidRPr="0065639C">
        <w:t>pyetjet</w:t>
      </w:r>
      <w:proofErr w:type="spellEnd"/>
      <w:r w:rsidRPr="0065639C">
        <w:t xml:space="preserve"> </w:t>
      </w:r>
      <w:proofErr w:type="spellStart"/>
      <w:r w:rsidRPr="0065639C">
        <w:t>kryesore</w:t>
      </w:r>
      <w:proofErr w:type="spellEnd"/>
      <w:r w:rsidRPr="0065639C">
        <w:t xml:space="preserve"> </w:t>
      </w:r>
      <w:proofErr w:type="spellStart"/>
      <w:r w:rsidRPr="0065639C">
        <w:t>që</w:t>
      </w:r>
      <w:proofErr w:type="spellEnd"/>
      <w:r w:rsidRPr="0065639C">
        <w:t xml:space="preserve"> do </w:t>
      </w:r>
      <w:proofErr w:type="spellStart"/>
      <w:r w:rsidRPr="0065639C">
        <w:t>të</w:t>
      </w:r>
      <w:proofErr w:type="spellEnd"/>
      <w:r w:rsidRPr="0065639C">
        <w:t xml:space="preserve"> </w:t>
      </w:r>
      <w:proofErr w:type="spellStart"/>
      <w:r w:rsidRPr="0065639C">
        <w:t>synohet</w:t>
      </w:r>
      <w:proofErr w:type="spellEnd"/>
      <w:r w:rsidRPr="0065639C">
        <w:t xml:space="preserve"> </w:t>
      </w:r>
      <w:proofErr w:type="spellStart"/>
      <w:r w:rsidRPr="0065639C">
        <w:t>tiu</w:t>
      </w:r>
      <w:proofErr w:type="spellEnd"/>
      <w:r w:rsidRPr="0065639C">
        <w:t xml:space="preserve"> </w:t>
      </w:r>
      <w:proofErr w:type="spellStart"/>
      <w:r w:rsidRPr="0065639C">
        <w:t>jepet</w:t>
      </w:r>
      <w:proofErr w:type="spellEnd"/>
      <w:r w:rsidRPr="0065639C">
        <w:t xml:space="preserve"> </w:t>
      </w:r>
      <w:proofErr w:type="spellStart"/>
      <w:r w:rsidRPr="0065639C">
        <w:t>përgjigje</w:t>
      </w:r>
      <w:proofErr w:type="spellEnd"/>
      <w:r w:rsidRPr="0065639C">
        <w:t xml:space="preserve"> </w:t>
      </w:r>
      <w:proofErr w:type="spellStart"/>
      <w:r w:rsidRPr="0065639C">
        <w:t>gjatë</w:t>
      </w:r>
      <w:proofErr w:type="spellEnd"/>
      <w:r w:rsidRPr="0065639C">
        <w:t xml:space="preserve"> </w:t>
      </w:r>
      <w:proofErr w:type="spellStart"/>
      <w:r w:rsidRPr="0065639C">
        <w:t>trajtimit</w:t>
      </w:r>
      <w:proofErr w:type="spellEnd"/>
      <w:r w:rsidRPr="0065639C">
        <w:t xml:space="preserve"> </w:t>
      </w:r>
      <w:proofErr w:type="spellStart"/>
      <w:r w:rsidRPr="0065639C">
        <w:t>të</w:t>
      </w:r>
      <w:proofErr w:type="spellEnd"/>
      <w:r>
        <w:t xml:space="preserve"> </w:t>
      </w:r>
      <w:proofErr w:type="spellStart"/>
      <w:r>
        <w:t>ç</w:t>
      </w:r>
      <w:r w:rsidRPr="0065639C">
        <w:t>ështjeve</w:t>
      </w:r>
      <w:proofErr w:type="spellEnd"/>
      <w:r>
        <w:t>;</w:t>
      </w:r>
    </w:p>
  </w:footnote>
  <w:footnote w:id="5">
    <w:p w14:paraId="366549AF" w14:textId="77777777" w:rsidR="00304606" w:rsidRDefault="00304606" w:rsidP="006563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Ekspertët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lehtësuesi</w:t>
      </w:r>
      <w:proofErr w:type="spellEnd"/>
      <w:r>
        <w:t xml:space="preserve"> </w:t>
      </w:r>
      <w:proofErr w:type="spellStart"/>
      <w:r w:rsidRPr="0065639C">
        <w:t>pë</w:t>
      </w:r>
      <w:r>
        <w:t>rcaktojnë</w:t>
      </w:r>
      <w:proofErr w:type="spellEnd"/>
      <w:r w:rsidRPr="0065639C">
        <w:t xml:space="preserve"> </w:t>
      </w:r>
      <w:proofErr w:type="spellStart"/>
      <w:r w:rsidRPr="0065639C">
        <w:t>kohën</w:t>
      </w:r>
      <w:proofErr w:type="spellEnd"/>
      <w:r w:rsidRPr="0065639C">
        <w:t xml:space="preserve"> </w:t>
      </w:r>
      <w:proofErr w:type="spellStart"/>
      <w:r w:rsidRPr="0065639C">
        <w:t>që</w:t>
      </w:r>
      <w:proofErr w:type="spellEnd"/>
      <w:r w:rsidRPr="0065639C">
        <w:t xml:space="preserve"> </w:t>
      </w:r>
      <w:proofErr w:type="spellStart"/>
      <w:r w:rsidRPr="0065639C">
        <w:t>i</w:t>
      </w:r>
      <w:proofErr w:type="spellEnd"/>
      <w:r w:rsidRPr="0065639C">
        <w:t xml:space="preserve"> </w:t>
      </w:r>
      <w:proofErr w:type="spellStart"/>
      <w:r w:rsidRPr="0065639C">
        <w:t>duhet</w:t>
      </w:r>
      <w:proofErr w:type="spellEnd"/>
      <w:r w:rsidRPr="0065639C">
        <w:t xml:space="preserve"> </w:t>
      </w:r>
      <w:proofErr w:type="spellStart"/>
      <w:r w:rsidRPr="0065639C">
        <w:t>në</w:t>
      </w:r>
      <w:proofErr w:type="spellEnd"/>
      <w:r w:rsidRPr="0065639C">
        <w:t xml:space="preserve"> </w:t>
      </w:r>
      <w:proofErr w:type="spellStart"/>
      <w:r w:rsidRPr="0065639C">
        <w:t>dispozicion</w:t>
      </w:r>
      <w:proofErr w:type="spellEnd"/>
      <w:r w:rsidRPr="0065639C">
        <w:t xml:space="preserve"> </w:t>
      </w:r>
      <w:proofErr w:type="spellStart"/>
      <w:r w:rsidRPr="0065639C">
        <w:t>për</w:t>
      </w:r>
      <w:proofErr w:type="spellEnd"/>
      <w:r w:rsidRPr="0065639C">
        <w:t xml:space="preserve"> </w:t>
      </w:r>
      <w:proofErr w:type="spellStart"/>
      <w:r w:rsidRPr="0065639C">
        <w:t>trajtimin</w:t>
      </w:r>
      <w:proofErr w:type="spellEnd"/>
      <w:r w:rsidRPr="0065639C">
        <w:t xml:space="preserve"> e </w:t>
      </w:r>
      <w:proofErr w:type="spellStart"/>
      <w:r w:rsidRPr="0065639C">
        <w:t>secilës</w:t>
      </w:r>
      <w:proofErr w:type="spellEnd"/>
      <w:r w:rsidRPr="0065639C">
        <w:t xml:space="preserve"> </w:t>
      </w:r>
      <w:proofErr w:type="spellStart"/>
      <w:r w:rsidRPr="0065639C">
        <w:t>çështje</w:t>
      </w:r>
      <w:proofErr w:type="spellEnd"/>
      <w:r w:rsidRPr="0065639C">
        <w:t xml:space="preserve">, </w:t>
      </w:r>
      <w:proofErr w:type="spellStart"/>
      <w:r w:rsidRPr="0065639C">
        <w:t>sipas</w:t>
      </w:r>
      <w:proofErr w:type="spellEnd"/>
      <w:r w:rsidRPr="0065639C">
        <w:t xml:space="preserve"> </w:t>
      </w:r>
      <w:proofErr w:type="spellStart"/>
      <w:r w:rsidRPr="0065639C">
        <w:t>kolonë</w:t>
      </w:r>
      <w:r>
        <w:t>s</w:t>
      </w:r>
      <w:proofErr w:type="spellEnd"/>
      <w:r>
        <w:t xml:space="preserve"> 2, </w:t>
      </w:r>
      <w:proofErr w:type="spellStart"/>
      <w:r>
        <w:t>metodologjinë</w:t>
      </w:r>
      <w:proofErr w:type="spellEnd"/>
      <w:r w:rsidRPr="0065639C">
        <w:t xml:space="preserve"> </w:t>
      </w:r>
      <w:proofErr w:type="spellStart"/>
      <w:r w:rsidRPr="0065639C">
        <w:t>që</w:t>
      </w:r>
      <w:proofErr w:type="spellEnd"/>
      <w:r w:rsidRPr="0065639C">
        <w:t xml:space="preserve"> do </w:t>
      </w:r>
      <w:proofErr w:type="spellStart"/>
      <w:r w:rsidRPr="0065639C">
        <w:t>të</w:t>
      </w:r>
      <w:proofErr w:type="spellEnd"/>
      <w:r w:rsidRPr="0065639C">
        <w:t xml:space="preserve"> </w:t>
      </w:r>
      <w:proofErr w:type="spellStart"/>
      <w:r w:rsidRPr="0065639C">
        <w:t>përdorë</w:t>
      </w:r>
      <w:proofErr w:type="spellEnd"/>
      <w:r w:rsidRPr="0065639C">
        <w:t xml:space="preserve"> </w:t>
      </w:r>
      <w:proofErr w:type="spellStart"/>
      <w:r w:rsidRPr="0065639C">
        <w:t>për</w:t>
      </w:r>
      <w:proofErr w:type="spellEnd"/>
      <w:r w:rsidRPr="0065639C">
        <w:t xml:space="preserve"> </w:t>
      </w:r>
      <w:proofErr w:type="spellStart"/>
      <w:r w:rsidRPr="0065639C">
        <w:t>trajtimin</w:t>
      </w:r>
      <w:proofErr w:type="spellEnd"/>
      <w:r w:rsidRPr="0065639C">
        <w:t xml:space="preserve"> e </w:t>
      </w:r>
      <w:proofErr w:type="spellStart"/>
      <w:r w:rsidRPr="0065639C"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ushtrimet</w:t>
      </w:r>
      <w:proofErr w:type="spellEnd"/>
      <w:r>
        <w:t xml:space="preserve">,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përdorë</w:t>
      </w:r>
      <w:proofErr w:type="spellEnd"/>
      <w:r>
        <w:t>;</w:t>
      </w:r>
    </w:p>
  </w:footnote>
  <w:footnote w:id="6">
    <w:p w14:paraId="66C88621" w14:textId="77777777" w:rsidR="00304606" w:rsidRDefault="00304606" w:rsidP="006563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Eksperti</w:t>
      </w:r>
      <w:proofErr w:type="spellEnd"/>
      <w:r>
        <w:t xml:space="preserve"> </w:t>
      </w:r>
      <w:proofErr w:type="spellStart"/>
      <w:r>
        <w:t>harton</w:t>
      </w:r>
      <w:proofErr w:type="spellEnd"/>
      <w:r w:rsidRPr="0065639C">
        <w:t xml:space="preserve"> </w:t>
      </w:r>
      <w:proofErr w:type="spellStart"/>
      <w:r w:rsidRPr="0065639C">
        <w:t>paraprakisht</w:t>
      </w:r>
      <w:proofErr w:type="spellEnd"/>
      <w:r w:rsidRPr="0065639C">
        <w:t xml:space="preserve"> </w:t>
      </w:r>
      <w:proofErr w:type="spellStart"/>
      <w:r w:rsidRPr="0065639C">
        <w:t>disa</w:t>
      </w:r>
      <w:proofErr w:type="spellEnd"/>
      <w:r w:rsidRPr="0065639C">
        <w:t xml:space="preserve"> </w:t>
      </w:r>
      <w:proofErr w:type="spellStart"/>
      <w:r w:rsidRPr="0065639C">
        <w:t>ushtrime</w:t>
      </w:r>
      <w:proofErr w:type="spellEnd"/>
      <w:r w:rsidRPr="0065639C">
        <w:t xml:space="preserve"> </w:t>
      </w:r>
      <w:proofErr w:type="spellStart"/>
      <w:r w:rsidRPr="0065639C">
        <w:t>të</w:t>
      </w:r>
      <w:proofErr w:type="spellEnd"/>
      <w:r w:rsidRPr="0065639C">
        <w:t xml:space="preserve"> </w:t>
      </w:r>
      <w:proofErr w:type="spellStart"/>
      <w:r w:rsidRPr="0065639C">
        <w:t>shkurtra</w:t>
      </w:r>
      <w:proofErr w:type="spellEnd"/>
      <w:r w:rsidRPr="0065639C">
        <w:t xml:space="preserve"> </w:t>
      </w:r>
      <w:proofErr w:type="spellStart"/>
      <w:r w:rsidRPr="0065639C">
        <w:t>praktike</w:t>
      </w:r>
      <w:proofErr w:type="spellEnd"/>
      <w:r w:rsidRPr="0065639C">
        <w:t xml:space="preserve"> </w:t>
      </w:r>
      <w:proofErr w:type="spellStart"/>
      <w:r w:rsidRPr="0065639C">
        <w:t>për</w:t>
      </w:r>
      <w:proofErr w:type="spellEnd"/>
      <w:r w:rsidRPr="0065639C">
        <w:t xml:space="preserve"> </w:t>
      </w:r>
      <w:proofErr w:type="spellStart"/>
      <w:r w:rsidRPr="0065639C">
        <w:t>të</w:t>
      </w:r>
      <w:proofErr w:type="spellEnd"/>
      <w:r w:rsidRPr="0065639C">
        <w:t xml:space="preserve"> </w:t>
      </w:r>
      <w:proofErr w:type="spellStart"/>
      <w:r w:rsidRPr="0065639C">
        <w:t>kuptuar</w:t>
      </w:r>
      <w:proofErr w:type="spellEnd"/>
      <w:r w:rsidRPr="0065639C">
        <w:t xml:space="preserve"> </w:t>
      </w:r>
      <w:proofErr w:type="spellStart"/>
      <w:r w:rsidRPr="0065639C">
        <w:t>reagimin</w:t>
      </w:r>
      <w:proofErr w:type="spellEnd"/>
      <w:r w:rsidRPr="0065639C">
        <w:t xml:space="preserve"> </w:t>
      </w:r>
      <w:proofErr w:type="spellStart"/>
      <w:r w:rsidRPr="0065639C">
        <w:t>dhe</w:t>
      </w:r>
      <w:proofErr w:type="spellEnd"/>
      <w:r w:rsidRPr="0065639C">
        <w:t xml:space="preserve"> </w:t>
      </w:r>
      <w:proofErr w:type="spellStart"/>
      <w:r w:rsidRPr="0065639C">
        <w:t>njohuritë</w:t>
      </w:r>
      <w:proofErr w:type="spellEnd"/>
      <w:r w:rsidRPr="0065639C">
        <w:t xml:space="preserve"> e </w:t>
      </w:r>
      <w:proofErr w:type="spellStart"/>
      <w:r w:rsidRPr="0065639C">
        <w:t>pjesëmarrësve</w:t>
      </w:r>
      <w:proofErr w:type="spellEnd"/>
      <w:r w:rsidRPr="0065639C">
        <w:t xml:space="preserve"> </w:t>
      </w:r>
      <w:proofErr w:type="spellStart"/>
      <w:r w:rsidRPr="0065639C">
        <w:t>ndaj</w:t>
      </w:r>
      <w:proofErr w:type="spellEnd"/>
      <w:r w:rsidRPr="0065639C">
        <w:t xml:space="preserve"> </w:t>
      </w:r>
      <w:proofErr w:type="spellStart"/>
      <w:r w:rsidRPr="0065639C">
        <w:t>cështjeve</w:t>
      </w:r>
      <w:proofErr w:type="spellEnd"/>
      <w:r w:rsidRPr="0065639C">
        <w:t xml:space="preserve"> </w:t>
      </w:r>
      <w:proofErr w:type="spellStart"/>
      <w:r w:rsidRPr="0065639C">
        <w:t>që</w:t>
      </w:r>
      <w:proofErr w:type="spellEnd"/>
      <w:r w:rsidRPr="0065639C">
        <w:t xml:space="preserve"> do </w:t>
      </w:r>
      <w:proofErr w:type="spellStart"/>
      <w:r w:rsidRPr="0065639C">
        <w:t>të</w:t>
      </w:r>
      <w:proofErr w:type="spellEnd"/>
      <w:r w:rsidRPr="0065639C">
        <w:t xml:space="preserve"> </w:t>
      </w:r>
      <w:proofErr w:type="spellStart"/>
      <w:r w:rsidRPr="0065639C">
        <w:t>trajtojë</w:t>
      </w:r>
      <w:proofErr w:type="spellEnd"/>
      <w:r w:rsidRPr="0065639C">
        <w:t xml:space="preserve"> </w:t>
      </w:r>
      <w:proofErr w:type="spellStart"/>
      <w:r w:rsidRPr="0065639C">
        <w:t>dhe</w:t>
      </w:r>
      <w:proofErr w:type="spellEnd"/>
      <w:r w:rsidRPr="0065639C">
        <w:t xml:space="preserve"> </w:t>
      </w:r>
      <w:proofErr w:type="spellStart"/>
      <w:r w:rsidRPr="0065639C">
        <w:t>ushtrime</w:t>
      </w:r>
      <w:proofErr w:type="spellEnd"/>
      <w:r w:rsidRPr="0065639C">
        <w:t xml:space="preserve"> </w:t>
      </w:r>
      <w:proofErr w:type="spellStart"/>
      <w:r w:rsidRPr="0065639C">
        <w:t>të</w:t>
      </w:r>
      <w:proofErr w:type="spellEnd"/>
      <w:r w:rsidRPr="0065639C">
        <w:t xml:space="preserve"> </w:t>
      </w:r>
      <w:proofErr w:type="spellStart"/>
      <w:r w:rsidRPr="0065639C">
        <w:t>shkurtra</w:t>
      </w:r>
      <w:proofErr w:type="spellEnd"/>
      <w:r w:rsidRPr="0065639C">
        <w:t xml:space="preserve"> </w:t>
      </w:r>
      <w:proofErr w:type="spellStart"/>
      <w:r w:rsidRPr="0065639C">
        <w:t>për</w:t>
      </w:r>
      <w:proofErr w:type="spellEnd"/>
      <w:r w:rsidRPr="0065639C">
        <w:t xml:space="preserve"> </w:t>
      </w:r>
      <w:proofErr w:type="spellStart"/>
      <w:r w:rsidRPr="0065639C">
        <w:t>të</w:t>
      </w:r>
      <w:proofErr w:type="spellEnd"/>
      <w:r w:rsidRPr="0065639C">
        <w:t xml:space="preserve"> </w:t>
      </w:r>
      <w:proofErr w:type="spellStart"/>
      <w:r w:rsidRPr="0065639C">
        <w:t>kuptuar</w:t>
      </w:r>
      <w:proofErr w:type="spellEnd"/>
      <w:r w:rsidRPr="0065639C">
        <w:t xml:space="preserve"> se </w:t>
      </w:r>
      <w:proofErr w:type="spellStart"/>
      <w:r w:rsidRPr="0065639C">
        <w:t>sa</w:t>
      </w:r>
      <w:proofErr w:type="spellEnd"/>
      <w:r w:rsidRPr="0065639C">
        <w:t xml:space="preserve"> </w:t>
      </w:r>
      <w:proofErr w:type="spellStart"/>
      <w:r w:rsidRPr="0065639C">
        <w:t>pjesëmarrësit</w:t>
      </w:r>
      <w:proofErr w:type="spellEnd"/>
      <w:r w:rsidRPr="0065639C">
        <w:t xml:space="preserve"> </w:t>
      </w:r>
      <w:proofErr w:type="spellStart"/>
      <w:r w:rsidRPr="0065639C">
        <w:t>kanë</w:t>
      </w:r>
      <w:proofErr w:type="spellEnd"/>
      <w:r w:rsidRPr="0065639C">
        <w:t xml:space="preserve"> </w:t>
      </w:r>
      <w:proofErr w:type="spellStart"/>
      <w:r w:rsidRPr="0065639C">
        <w:t>arritur</w:t>
      </w:r>
      <w:proofErr w:type="spellEnd"/>
      <w:r w:rsidRPr="0065639C">
        <w:t xml:space="preserve"> </w:t>
      </w:r>
      <w:proofErr w:type="spellStart"/>
      <w:r w:rsidRPr="0065639C">
        <w:t>të</w:t>
      </w:r>
      <w:proofErr w:type="spellEnd"/>
      <w:r w:rsidRPr="0065639C">
        <w:t xml:space="preserve"> </w:t>
      </w:r>
      <w:proofErr w:type="spellStart"/>
      <w:r w:rsidRPr="0065639C">
        <w:t>përvetësojnë</w:t>
      </w:r>
      <w:proofErr w:type="spellEnd"/>
      <w:r w:rsidRPr="0065639C">
        <w:t xml:space="preserve"> </w:t>
      </w:r>
      <w:proofErr w:type="spellStart"/>
      <w:r w:rsidRPr="0065639C">
        <w:t>njohuritë</w:t>
      </w:r>
      <w:proofErr w:type="spellEnd"/>
      <w:r w:rsidRPr="0065639C">
        <w:t>/</w:t>
      </w:r>
      <w:proofErr w:type="spellStart"/>
      <w:r w:rsidRPr="0065639C">
        <w:t>aftësitë</w:t>
      </w:r>
      <w:proofErr w:type="spellEnd"/>
      <w:r w:rsidRPr="0065639C">
        <w:t xml:space="preserve"> e </w:t>
      </w:r>
      <w:proofErr w:type="spellStart"/>
      <w:r w:rsidRPr="0065639C">
        <w:t>dhëna</w:t>
      </w:r>
      <w:proofErr w:type="spellEnd"/>
      <w:r w:rsidRPr="0065639C">
        <w:t xml:space="preserve"> </w:t>
      </w:r>
      <w:proofErr w:type="spellStart"/>
      <w:r w:rsidRPr="0065639C">
        <w:t>në</w:t>
      </w:r>
      <w:proofErr w:type="spellEnd"/>
      <w:r w:rsidRPr="0065639C">
        <w:t xml:space="preserve"> </w:t>
      </w:r>
      <w:proofErr w:type="spellStart"/>
      <w:r w:rsidRPr="0065639C">
        <w:t>trajnim</w:t>
      </w:r>
      <w:proofErr w:type="spellEnd"/>
      <w:r w:rsidRPr="0065639C">
        <w:t xml:space="preserve">, </w:t>
      </w:r>
      <w:proofErr w:type="spellStart"/>
      <w:r w:rsidRPr="0065639C">
        <w:t>pra</w:t>
      </w:r>
      <w:proofErr w:type="spellEnd"/>
      <w:r w:rsidRPr="0065639C">
        <w:t xml:space="preserve"> </w:t>
      </w:r>
      <w:proofErr w:type="spellStart"/>
      <w:r w:rsidRPr="0065639C">
        <w:t>ushtrimet</w:t>
      </w:r>
      <w:proofErr w:type="spellEnd"/>
      <w:r w:rsidRPr="0065639C">
        <w:t xml:space="preserve"> </w:t>
      </w:r>
      <w:proofErr w:type="spellStart"/>
      <w:r w:rsidRPr="0065639C">
        <w:t>dhe</w:t>
      </w:r>
      <w:proofErr w:type="spellEnd"/>
      <w:r w:rsidRPr="0065639C">
        <w:t xml:space="preserve"> </w:t>
      </w:r>
      <w:proofErr w:type="spellStart"/>
      <w:r w:rsidRPr="0065639C">
        <w:t>rastet</w:t>
      </w:r>
      <w:proofErr w:type="spellEnd"/>
      <w:r w:rsidRPr="0065639C">
        <w:t xml:space="preserve"> </w:t>
      </w:r>
      <w:proofErr w:type="spellStart"/>
      <w:r w:rsidRPr="0065639C">
        <w:t>praktike</w:t>
      </w:r>
      <w:proofErr w:type="spellEnd"/>
      <w:r w:rsidRPr="0065639C">
        <w:t xml:space="preserve"> </w:t>
      </w:r>
      <w:proofErr w:type="spellStart"/>
      <w:r w:rsidRPr="0065639C">
        <w:t>duhet</w:t>
      </w:r>
      <w:proofErr w:type="spellEnd"/>
      <w:r w:rsidRPr="0065639C">
        <w:t xml:space="preserve"> </w:t>
      </w:r>
      <w:proofErr w:type="spellStart"/>
      <w:r w:rsidRPr="0065639C">
        <w:t>të</w:t>
      </w:r>
      <w:proofErr w:type="spellEnd"/>
      <w:r w:rsidRPr="0065639C">
        <w:t xml:space="preserve"> </w:t>
      </w:r>
      <w:proofErr w:type="spellStart"/>
      <w:r w:rsidRPr="0065639C">
        <w:t>jepen</w:t>
      </w:r>
      <w:proofErr w:type="spellEnd"/>
      <w:r w:rsidRPr="0065639C">
        <w:t xml:space="preserve"> </w:t>
      </w:r>
      <w:proofErr w:type="spellStart"/>
      <w:r w:rsidRPr="0065639C">
        <w:t>në</w:t>
      </w:r>
      <w:proofErr w:type="spellEnd"/>
      <w:r w:rsidRPr="0065639C">
        <w:t xml:space="preserve"> </w:t>
      </w:r>
      <w:proofErr w:type="spellStart"/>
      <w:r w:rsidRPr="0065639C">
        <w:t>dy</w:t>
      </w:r>
      <w:proofErr w:type="spellEnd"/>
      <w:r w:rsidRPr="0065639C">
        <w:t xml:space="preserve"> </w:t>
      </w:r>
      <w:proofErr w:type="spellStart"/>
      <w:r w:rsidRPr="0065639C">
        <w:t>momente</w:t>
      </w:r>
      <w:proofErr w:type="spellEnd"/>
      <w:r w:rsidRPr="0065639C">
        <w:t xml:space="preserve"> </w:t>
      </w:r>
      <w:proofErr w:type="spellStart"/>
      <w:r w:rsidRPr="0065639C">
        <w:t>të</w:t>
      </w:r>
      <w:proofErr w:type="spellEnd"/>
      <w:r w:rsidRPr="0065639C">
        <w:t xml:space="preserve"> </w:t>
      </w:r>
      <w:proofErr w:type="spellStart"/>
      <w:r w:rsidRPr="0065639C">
        <w:t>ndryshme</w:t>
      </w:r>
      <w:proofErr w:type="spellEnd"/>
      <w:r w:rsidRPr="0065639C">
        <w:t xml:space="preserve"> </w:t>
      </w:r>
      <w:proofErr w:type="spellStart"/>
      <w:r w:rsidRPr="0065639C">
        <w:t>gjatë</w:t>
      </w:r>
      <w:proofErr w:type="spellEnd"/>
      <w:r w:rsidRPr="0065639C">
        <w:t xml:space="preserve"> </w:t>
      </w:r>
      <w:proofErr w:type="spellStart"/>
      <w:r w:rsidRPr="0065639C">
        <w:t>zhvillimit</w:t>
      </w:r>
      <w:proofErr w:type="spellEnd"/>
      <w:r w:rsidRPr="0065639C">
        <w:t xml:space="preserve"> </w:t>
      </w:r>
      <w:proofErr w:type="spellStart"/>
      <w:r w:rsidRPr="0065639C">
        <w:t>të</w:t>
      </w:r>
      <w:proofErr w:type="spellEnd"/>
      <w:r w:rsidRPr="0065639C">
        <w:t xml:space="preserve"> </w:t>
      </w:r>
      <w:proofErr w:type="spellStart"/>
      <w:r w:rsidRPr="0065639C">
        <w:t>trajnimit</w:t>
      </w:r>
      <w:proofErr w:type="spellEnd"/>
      <w:r>
        <w:t>;</w:t>
      </w:r>
    </w:p>
  </w:footnote>
  <w:footnote w:id="7">
    <w:p w14:paraId="35CE8BBC" w14:textId="4CAEF71F" w:rsidR="00304606" w:rsidRDefault="00304606" w:rsidP="006563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Eksperti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materialin</w:t>
      </w:r>
      <w:proofErr w:type="spellEnd"/>
      <w:r>
        <w:t xml:space="preserve"> e </w:t>
      </w:r>
      <w:proofErr w:type="spellStart"/>
      <w:r>
        <w:t>përgatitur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format </w:t>
      </w:r>
      <w:proofErr w:type="spellStart"/>
      <w:r>
        <w:t>leksioni</w:t>
      </w:r>
      <w:proofErr w:type="spellEnd"/>
      <w:r>
        <w:t xml:space="preserve">, </w:t>
      </w:r>
      <w:proofErr w:type="spellStart"/>
      <w:r>
        <w:t>shoqëruar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jo me </w:t>
      </w:r>
      <w:proofErr w:type="spellStart"/>
      <w:r>
        <w:t>poëer</w:t>
      </w:r>
      <w:proofErr w:type="spellEnd"/>
      <w:r>
        <w:t xml:space="preserve"> point, </w:t>
      </w:r>
      <w:proofErr w:type="spellStart"/>
      <w:r>
        <w:t>grafika</w:t>
      </w:r>
      <w:proofErr w:type="spellEnd"/>
      <w:r>
        <w:t xml:space="preserve">, </w:t>
      </w:r>
      <w:proofErr w:type="spellStart"/>
      <w:r>
        <w:t>etj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ditur</w:t>
      </w:r>
      <w:proofErr w:type="spellEnd"/>
      <w:r>
        <w:t xml:space="preserve"> </w:t>
      </w:r>
      <w:proofErr w:type="spellStart"/>
      <w:r>
        <w:t>literaturën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mbështetur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vendimet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analizë</w:t>
      </w:r>
      <w:proofErr w:type="spellEnd"/>
      <w:r>
        <w:t xml:space="preserve">.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bashkëlidhen</w:t>
      </w:r>
      <w:proofErr w:type="spellEnd"/>
      <w:r>
        <w:t xml:space="preserve"> matrices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93"/>
    <w:multiLevelType w:val="hybridMultilevel"/>
    <w:tmpl w:val="5F6AC060"/>
    <w:lvl w:ilvl="0" w:tplc="AF664C8E">
      <w:numFmt w:val="bullet"/>
      <w:lvlText w:val="-"/>
      <w:lvlJc w:val="left"/>
      <w:pPr>
        <w:ind w:left="27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 w15:restartNumberingAfterBreak="0">
    <w:nsid w:val="07E331D5"/>
    <w:multiLevelType w:val="hybridMultilevel"/>
    <w:tmpl w:val="72884322"/>
    <w:lvl w:ilvl="0" w:tplc="DEF2AA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01C4"/>
    <w:multiLevelType w:val="hybridMultilevel"/>
    <w:tmpl w:val="2696CBFE"/>
    <w:lvl w:ilvl="0" w:tplc="053059A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06A1"/>
    <w:multiLevelType w:val="hybridMultilevel"/>
    <w:tmpl w:val="29BEA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7362"/>
    <w:multiLevelType w:val="hybridMultilevel"/>
    <w:tmpl w:val="B2C6C47A"/>
    <w:lvl w:ilvl="0" w:tplc="0BD2E9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DCF2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6E47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3E3D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6C3C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CE2D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4409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6C38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A8B2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6694DF5"/>
    <w:multiLevelType w:val="hybridMultilevel"/>
    <w:tmpl w:val="C5C47B44"/>
    <w:lvl w:ilvl="0" w:tplc="97F88B4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02A95"/>
    <w:multiLevelType w:val="hybridMultilevel"/>
    <w:tmpl w:val="B40E152E"/>
    <w:lvl w:ilvl="0" w:tplc="F93628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0C81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CA2C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F67A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464A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EA1D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6AFE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8E2A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4AE9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9444722"/>
    <w:multiLevelType w:val="hybridMultilevel"/>
    <w:tmpl w:val="29BEAF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E6DF4"/>
    <w:multiLevelType w:val="hybridMultilevel"/>
    <w:tmpl w:val="FFB21BC6"/>
    <w:lvl w:ilvl="0" w:tplc="E22435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482E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C8C5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B852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D2CB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9233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829A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B6F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72C7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64E19ED"/>
    <w:multiLevelType w:val="hybridMultilevel"/>
    <w:tmpl w:val="952C5960"/>
    <w:lvl w:ilvl="0" w:tplc="25F47F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7E2C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985B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82D9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9085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D07B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7640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5215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5098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8A12E2C"/>
    <w:multiLevelType w:val="hybridMultilevel"/>
    <w:tmpl w:val="2FAA0AB8"/>
    <w:lvl w:ilvl="0" w:tplc="E752C7C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10FCB"/>
    <w:multiLevelType w:val="hybridMultilevel"/>
    <w:tmpl w:val="10CE0DB6"/>
    <w:lvl w:ilvl="0" w:tplc="8E7810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10D7"/>
    <w:multiLevelType w:val="hybridMultilevel"/>
    <w:tmpl w:val="FCF6344E"/>
    <w:lvl w:ilvl="0" w:tplc="30C6844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E00BC"/>
    <w:multiLevelType w:val="hybridMultilevel"/>
    <w:tmpl w:val="D7B6DD66"/>
    <w:lvl w:ilvl="0" w:tplc="DEF2AA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13756"/>
    <w:multiLevelType w:val="hybridMultilevel"/>
    <w:tmpl w:val="0ACA2692"/>
    <w:lvl w:ilvl="0" w:tplc="332A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738C4"/>
    <w:multiLevelType w:val="hybridMultilevel"/>
    <w:tmpl w:val="D140387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95020"/>
    <w:multiLevelType w:val="hybridMultilevel"/>
    <w:tmpl w:val="30381BB2"/>
    <w:lvl w:ilvl="0" w:tplc="D2D01E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06C8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B808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1E8A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B61C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4A0F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363C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C85A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889D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743A2CAC"/>
    <w:multiLevelType w:val="hybridMultilevel"/>
    <w:tmpl w:val="F324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7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16"/>
  </w:num>
  <w:num w:numId="16">
    <w:abstractNumId w:val="8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A1"/>
    <w:rsid w:val="000050C2"/>
    <w:rsid w:val="00021297"/>
    <w:rsid w:val="00045FAA"/>
    <w:rsid w:val="000515C6"/>
    <w:rsid w:val="00057A11"/>
    <w:rsid w:val="00067A5B"/>
    <w:rsid w:val="00076506"/>
    <w:rsid w:val="00082BAD"/>
    <w:rsid w:val="0009116B"/>
    <w:rsid w:val="000A18AA"/>
    <w:rsid w:val="000F441C"/>
    <w:rsid w:val="001048AB"/>
    <w:rsid w:val="00113D99"/>
    <w:rsid w:val="00146151"/>
    <w:rsid w:val="0014629C"/>
    <w:rsid w:val="0015523C"/>
    <w:rsid w:val="00177B36"/>
    <w:rsid w:val="0019497F"/>
    <w:rsid w:val="001B03FC"/>
    <w:rsid w:val="001B78BC"/>
    <w:rsid w:val="001D1105"/>
    <w:rsid w:val="001E0F90"/>
    <w:rsid w:val="001E7667"/>
    <w:rsid w:val="0022142E"/>
    <w:rsid w:val="00224483"/>
    <w:rsid w:val="002331BB"/>
    <w:rsid w:val="002415FC"/>
    <w:rsid w:val="0025485E"/>
    <w:rsid w:val="00293EC3"/>
    <w:rsid w:val="002A4553"/>
    <w:rsid w:val="002B073D"/>
    <w:rsid w:val="002B734F"/>
    <w:rsid w:val="002E2A4A"/>
    <w:rsid w:val="0030248F"/>
    <w:rsid w:val="00304606"/>
    <w:rsid w:val="00316A3A"/>
    <w:rsid w:val="0031779A"/>
    <w:rsid w:val="00323826"/>
    <w:rsid w:val="00325369"/>
    <w:rsid w:val="00335EE6"/>
    <w:rsid w:val="00342054"/>
    <w:rsid w:val="00355CCD"/>
    <w:rsid w:val="003604EB"/>
    <w:rsid w:val="00360E75"/>
    <w:rsid w:val="00374075"/>
    <w:rsid w:val="003749DD"/>
    <w:rsid w:val="0037719E"/>
    <w:rsid w:val="00396737"/>
    <w:rsid w:val="003A596A"/>
    <w:rsid w:val="003E2D72"/>
    <w:rsid w:val="003E3E5F"/>
    <w:rsid w:val="003E6ACB"/>
    <w:rsid w:val="003E6ED6"/>
    <w:rsid w:val="004306F6"/>
    <w:rsid w:val="00434200"/>
    <w:rsid w:val="00434FE2"/>
    <w:rsid w:val="0046779E"/>
    <w:rsid w:val="004716E6"/>
    <w:rsid w:val="004743B7"/>
    <w:rsid w:val="00492141"/>
    <w:rsid w:val="004A5635"/>
    <w:rsid w:val="004E5EBA"/>
    <w:rsid w:val="004F73C2"/>
    <w:rsid w:val="0050418B"/>
    <w:rsid w:val="00521796"/>
    <w:rsid w:val="005302AF"/>
    <w:rsid w:val="0053522A"/>
    <w:rsid w:val="00542F4A"/>
    <w:rsid w:val="005648E2"/>
    <w:rsid w:val="0059047E"/>
    <w:rsid w:val="005C7B88"/>
    <w:rsid w:val="005E6BE7"/>
    <w:rsid w:val="005F6B64"/>
    <w:rsid w:val="00613B07"/>
    <w:rsid w:val="00620C0C"/>
    <w:rsid w:val="00631A50"/>
    <w:rsid w:val="00636607"/>
    <w:rsid w:val="0065639C"/>
    <w:rsid w:val="006808BB"/>
    <w:rsid w:val="006935C2"/>
    <w:rsid w:val="00693DC5"/>
    <w:rsid w:val="006A2E67"/>
    <w:rsid w:val="006A5275"/>
    <w:rsid w:val="006D0812"/>
    <w:rsid w:val="006D4481"/>
    <w:rsid w:val="006E77F6"/>
    <w:rsid w:val="007079F1"/>
    <w:rsid w:val="00743C76"/>
    <w:rsid w:val="00757540"/>
    <w:rsid w:val="00760C51"/>
    <w:rsid w:val="00760E7F"/>
    <w:rsid w:val="00773C05"/>
    <w:rsid w:val="007968FF"/>
    <w:rsid w:val="007A0B0E"/>
    <w:rsid w:val="007B1C4B"/>
    <w:rsid w:val="007F021B"/>
    <w:rsid w:val="008144AD"/>
    <w:rsid w:val="0081689E"/>
    <w:rsid w:val="008358D2"/>
    <w:rsid w:val="008400F9"/>
    <w:rsid w:val="00841637"/>
    <w:rsid w:val="008419F4"/>
    <w:rsid w:val="00842825"/>
    <w:rsid w:val="00845900"/>
    <w:rsid w:val="00860332"/>
    <w:rsid w:val="008A3F0A"/>
    <w:rsid w:val="008B14B4"/>
    <w:rsid w:val="008D0363"/>
    <w:rsid w:val="008D0A44"/>
    <w:rsid w:val="008F40D4"/>
    <w:rsid w:val="00900D85"/>
    <w:rsid w:val="009365CB"/>
    <w:rsid w:val="009504E8"/>
    <w:rsid w:val="00952677"/>
    <w:rsid w:val="00961474"/>
    <w:rsid w:val="009634CD"/>
    <w:rsid w:val="009657EC"/>
    <w:rsid w:val="009942A5"/>
    <w:rsid w:val="00995C2B"/>
    <w:rsid w:val="009A462B"/>
    <w:rsid w:val="009A4769"/>
    <w:rsid w:val="009B366F"/>
    <w:rsid w:val="009B77D1"/>
    <w:rsid w:val="009B7A04"/>
    <w:rsid w:val="009C5012"/>
    <w:rsid w:val="009C64F2"/>
    <w:rsid w:val="009D6C1D"/>
    <w:rsid w:val="009E420A"/>
    <w:rsid w:val="009F456C"/>
    <w:rsid w:val="009F7416"/>
    <w:rsid w:val="00A0161E"/>
    <w:rsid w:val="00A31582"/>
    <w:rsid w:val="00A72D22"/>
    <w:rsid w:val="00A8150F"/>
    <w:rsid w:val="00A85846"/>
    <w:rsid w:val="00AA4B3B"/>
    <w:rsid w:val="00AA72C1"/>
    <w:rsid w:val="00AB2603"/>
    <w:rsid w:val="00AD141B"/>
    <w:rsid w:val="00AE11B6"/>
    <w:rsid w:val="00B01D22"/>
    <w:rsid w:val="00B06F6B"/>
    <w:rsid w:val="00B10E09"/>
    <w:rsid w:val="00B11634"/>
    <w:rsid w:val="00B31C05"/>
    <w:rsid w:val="00B42789"/>
    <w:rsid w:val="00B53296"/>
    <w:rsid w:val="00B84968"/>
    <w:rsid w:val="00B87115"/>
    <w:rsid w:val="00B93086"/>
    <w:rsid w:val="00BA798B"/>
    <w:rsid w:val="00BB070A"/>
    <w:rsid w:val="00BB0FD2"/>
    <w:rsid w:val="00BC02B9"/>
    <w:rsid w:val="00BC1A51"/>
    <w:rsid w:val="00BD1C18"/>
    <w:rsid w:val="00BE5CB8"/>
    <w:rsid w:val="00C01E80"/>
    <w:rsid w:val="00C14EE8"/>
    <w:rsid w:val="00C17046"/>
    <w:rsid w:val="00C22538"/>
    <w:rsid w:val="00C233A4"/>
    <w:rsid w:val="00C2574A"/>
    <w:rsid w:val="00C61C19"/>
    <w:rsid w:val="00C62A19"/>
    <w:rsid w:val="00C6733E"/>
    <w:rsid w:val="00C70BB9"/>
    <w:rsid w:val="00C76624"/>
    <w:rsid w:val="00C9372C"/>
    <w:rsid w:val="00CC0013"/>
    <w:rsid w:val="00CC10A1"/>
    <w:rsid w:val="00CC5547"/>
    <w:rsid w:val="00CD2676"/>
    <w:rsid w:val="00CF0EB9"/>
    <w:rsid w:val="00CF364E"/>
    <w:rsid w:val="00D043D9"/>
    <w:rsid w:val="00D055DC"/>
    <w:rsid w:val="00D33D77"/>
    <w:rsid w:val="00D44342"/>
    <w:rsid w:val="00D66CB7"/>
    <w:rsid w:val="00D707FE"/>
    <w:rsid w:val="00D7225D"/>
    <w:rsid w:val="00D9675B"/>
    <w:rsid w:val="00DA12C7"/>
    <w:rsid w:val="00DA55F0"/>
    <w:rsid w:val="00DC44BE"/>
    <w:rsid w:val="00DF3D38"/>
    <w:rsid w:val="00E07DE4"/>
    <w:rsid w:val="00E1288E"/>
    <w:rsid w:val="00E13411"/>
    <w:rsid w:val="00E13EB6"/>
    <w:rsid w:val="00E341AE"/>
    <w:rsid w:val="00E47FBD"/>
    <w:rsid w:val="00E549B0"/>
    <w:rsid w:val="00E82B4E"/>
    <w:rsid w:val="00E94F84"/>
    <w:rsid w:val="00EC4159"/>
    <w:rsid w:val="00EC6A81"/>
    <w:rsid w:val="00ED5C4A"/>
    <w:rsid w:val="00EF293E"/>
    <w:rsid w:val="00EF7370"/>
    <w:rsid w:val="00F234F4"/>
    <w:rsid w:val="00F3396C"/>
    <w:rsid w:val="00F35D56"/>
    <w:rsid w:val="00F455E3"/>
    <w:rsid w:val="00F46222"/>
    <w:rsid w:val="00F553AE"/>
    <w:rsid w:val="00F73817"/>
    <w:rsid w:val="00FB2EEC"/>
    <w:rsid w:val="00FB6266"/>
    <w:rsid w:val="00FD0A7A"/>
    <w:rsid w:val="00FE481C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1D34"/>
  <w15:docId w15:val="{7805593C-6F6B-4FA9-9724-4C3FCC12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"/>
    <w:basedOn w:val="Normal"/>
    <w:link w:val="FootnoteTextChar"/>
    <w:unhideWhenUsed/>
    <w:rsid w:val="009634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basedOn w:val="DefaultParagraphFont"/>
    <w:link w:val="FootnoteText"/>
    <w:rsid w:val="009634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4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523C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021297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AE11B6"/>
  </w:style>
  <w:style w:type="paragraph" w:customStyle="1" w:styleId="StyleBoldJustified">
    <w:name w:val="Style Bold Justified"/>
    <w:basedOn w:val="Normal"/>
    <w:autoRedefine/>
    <w:rsid w:val="0025485E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7F0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1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1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04F0-0194-4EA3-950F-E0840F8D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2024-06-05T09:50:00Z</dcterms:created>
  <dcterms:modified xsi:type="dcterms:W3CDTF">2024-06-05T09:50:00Z</dcterms:modified>
</cp:coreProperties>
</file>