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CDBC" w14:textId="77777777" w:rsidR="00837752" w:rsidRPr="000E4438" w:rsidRDefault="00837752" w:rsidP="00837752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E4438">
        <w:rPr>
          <w:rFonts w:ascii="Times New Roman" w:eastAsia="MS Mincho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5C4DB8AB" wp14:editId="70D2B1A7">
            <wp:extent cx="1150620" cy="945152"/>
            <wp:effectExtent l="0" t="0" r="0" b="7620"/>
            <wp:docPr id="707034833" name="Picture 1" descr="Rezultate imazhesh për shkolla magjistr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ër shkolla magjistra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80" cy="95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8308" w14:textId="77777777" w:rsidR="00837752" w:rsidRPr="000E4438" w:rsidRDefault="00837752" w:rsidP="0083775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E4438">
        <w:rPr>
          <w:rFonts w:ascii="Times New Roman" w:eastAsia="MS Mincho" w:hAnsi="Times New Roman" w:cs="Times New Roman"/>
          <w:b/>
          <w:sz w:val="24"/>
          <w:szCs w:val="24"/>
        </w:rPr>
        <w:t>REPUBLIKA E SHQIPËRISË</w:t>
      </w:r>
    </w:p>
    <w:p w14:paraId="27498103" w14:textId="6F770BDA" w:rsidR="004C1510" w:rsidRPr="000E4438" w:rsidRDefault="00837752" w:rsidP="00837752">
      <w:pPr>
        <w:pBdr>
          <w:bottom w:val="single" w:sz="12" w:space="1" w:color="auto"/>
        </w:pBdr>
        <w:spacing w:after="0" w:line="276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E4438">
        <w:rPr>
          <w:rFonts w:ascii="Times New Roman" w:eastAsia="MS Mincho" w:hAnsi="Times New Roman" w:cs="Times New Roman"/>
          <w:b/>
          <w:sz w:val="24"/>
          <w:szCs w:val="24"/>
        </w:rPr>
        <w:t>SHKOLLA E MAGJISTRATURËS</w:t>
      </w:r>
    </w:p>
    <w:p w14:paraId="400126C7" w14:textId="2704AE4A" w:rsidR="00E71820" w:rsidRPr="000E4438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0E443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68639C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0E443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22526" w:rsidRPr="000E4438">
        <w:rPr>
          <w:rFonts w:ascii="Times New Roman" w:eastAsia="Arial" w:hAnsi="Times New Roman" w:cs="Times New Roman"/>
          <w:b/>
          <w:sz w:val="24"/>
          <w:szCs w:val="24"/>
        </w:rPr>
        <w:t>13.2.2025</w:t>
      </w:r>
    </w:p>
    <w:p w14:paraId="61B4E310" w14:textId="77777777" w:rsidR="004C1510" w:rsidRPr="000E4438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0E4438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0E4438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64CB669C" w14:textId="591C9D5B" w:rsidR="00720117" w:rsidRPr="000E4438" w:rsidRDefault="00E71820" w:rsidP="00837752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E4438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0E443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0E443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0E4438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E4339" w:rsidRPr="000E4438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r diskutim dhe </w:t>
      </w:r>
      <w:r w:rsidR="00DE4339">
        <w:rPr>
          <w:rFonts w:ascii="Times New Roman" w:eastAsia="Arial" w:hAnsi="Times New Roman" w:cs="Times New Roman"/>
          <w:sz w:val="24"/>
          <w:szCs w:val="24"/>
        </w:rPr>
        <w:t xml:space="preserve">ecurie </w:t>
      </w:r>
      <w:r w:rsidRPr="000E4438">
        <w:rPr>
          <w:rFonts w:ascii="Times New Roman" w:eastAsia="Arial" w:hAnsi="Times New Roman" w:cs="Times New Roman"/>
          <w:sz w:val="24"/>
          <w:szCs w:val="24"/>
        </w:rPr>
        <w:t>n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>penal</w:t>
      </w:r>
      <w:r w:rsidRPr="000E443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2526" w:rsidRPr="000E4438">
        <w:rPr>
          <w:rFonts w:ascii="Times New Roman" w:eastAsia="Arial" w:hAnsi="Times New Roman" w:cs="Times New Roman"/>
          <w:sz w:val="24"/>
          <w:szCs w:val="24"/>
        </w:rPr>
        <w:t>13.2.2025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proofErr w:type="spellStart"/>
      <w:r w:rsidR="00C340D4" w:rsidRPr="000E4438">
        <w:rPr>
          <w:rFonts w:ascii="Times New Roman" w:eastAsia="Arial" w:hAnsi="Times New Roman" w:cs="Times New Roman"/>
          <w:sz w:val="24"/>
          <w:szCs w:val="24"/>
        </w:rPr>
        <w:t>IV</w:t>
      </w:r>
      <w:proofErr w:type="spellEnd"/>
      <w:r w:rsidRPr="000E4438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z.</w:t>
      </w:r>
      <w:r w:rsidR="00DE433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22526" w:rsidRPr="000E4438">
        <w:rPr>
          <w:rFonts w:ascii="Times New Roman" w:eastAsia="Arial" w:hAnsi="Times New Roman" w:cs="Times New Roman"/>
          <w:sz w:val="24"/>
          <w:szCs w:val="24"/>
        </w:rPr>
        <w:t>Gerd</w:t>
      </w:r>
      <w:proofErr w:type="spellEnd"/>
      <w:r w:rsidR="00422526" w:rsidRPr="000E4438">
        <w:rPr>
          <w:rFonts w:ascii="Times New Roman" w:eastAsia="Arial" w:hAnsi="Times New Roman" w:cs="Times New Roman"/>
          <w:sz w:val="24"/>
          <w:szCs w:val="24"/>
        </w:rPr>
        <w:t xml:space="preserve"> Hoxha</w:t>
      </w:r>
    </w:p>
    <w:p w14:paraId="0AF9B19A" w14:textId="77777777" w:rsidR="004C1510" w:rsidRPr="000E4438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08C97118" w:rsidR="00720117" w:rsidRPr="000E4438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4438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0E4438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0E4438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0E4438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0E4438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>penal</w:t>
      </w:r>
      <w:r w:rsidRPr="000E443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0E4438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C340D4" w:rsidRPr="000E4438">
        <w:rPr>
          <w:rFonts w:ascii="Times New Roman" w:eastAsia="Arial" w:hAnsi="Times New Roman" w:cs="Times New Roman"/>
          <w:sz w:val="24"/>
          <w:szCs w:val="24"/>
        </w:rPr>
        <w:t>I</w:t>
      </w:r>
      <w:r w:rsidR="00C0496E" w:rsidRPr="000E4438">
        <w:rPr>
          <w:rFonts w:ascii="Times New Roman" w:eastAsia="Arial" w:hAnsi="Times New Roman" w:cs="Times New Roman"/>
          <w:sz w:val="24"/>
          <w:szCs w:val="24"/>
        </w:rPr>
        <w:t>V</w:t>
      </w:r>
      <w:proofErr w:type="spellEnd"/>
      <w:r w:rsidRPr="000E443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vitit i </w:t>
      </w:r>
      <w:proofErr w:type="spellStart"/>
      <w:r w:rsidRPr="000E4438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0E4438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0E4438">
        <w:rPr>
          <w:rFonts w:ascii="Times New Roman" w:eastAsia="Arial" w:hAnsi="Times New Roman" w:cs="Times New Roman"/>
          <w:sz w:val="24"/>
          <w:szCs w:val="24"/>
        </w:rPr>
        <w:t>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eastAsia="Arial" w:hAnsi="Times New Roman" w:cs="Times New Roman"/>
          <w:sz w:val="24"/>
          <w:szCs w:val="24"/>
        </w:rPr>
        <w:t>poshtë</w:t>
      </w:r>
      <w:r w:rsidRPr="000E443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0E4438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Fabula;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47E4AC4E" w:rsidR="00720117" w:rsidRPr="000E4438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 xml:space="preserve">Fazat </w:t>
      </w:r>
      <w:r w:rsidR="00DE4339" w:rsidRPr="000E4438">
        <w:rPr>
          <w:rFonts w:ascii="Times New Roman" w:hAnsi="Times New Roman" w:cs="Times New Roman"/>
          <w:sz w:val="24"/>
          <w:szCs w:val="24"/>
        </w:rPr>
        <w:t>procedurale</w:t>
      </w:r>
      <w:r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0CCDC911" w14:textId="2E9C9092" w:rsidR="00720117" w:rsidRPr="000E4438" w:rsidRDefault="00C0496E" w:rsidP="0083775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Ç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DE4339" w:rsidRPr="000E4438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720117" w:rsidRPr="000E4438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1918729C" w14:textId="4FB0AEF1" w:rsidR="00720117" w:rsidRPr="00DE4339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39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A31FFB" w:rsidRPr="00DE4339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>shtjen e par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119739" w14:textId="7ABAD719" w:rsidR="00837752" w:rsidRPr="000E443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Fabula e p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rket </w:t>
      </w:r>
      <w:r w:rsidR="00C0496E" w:rsidRPr="000E4438">
        <w:rPr>
          <w:rFonts w:ascii="Times New Roman" w:hAnsi="Times New Roman" w:cs="Times New Roman"/>
          <w:sz w:val="24"/>
          <w:szCs w:val="24"/>
        </w:rPr>
        <w:t>kryerjes s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hAnsi="Times New Roman" w:cs="Times New Roman"/>
          <w:sz w:val="24"/>
          <w:szCs w:val="24"/>
        </w:rPr>
        <w:t xml:space="preserve"> vepr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s</w:t>
      </w:r>
      <w:r w:rsidR="00C0496E" w:rsidRPr="000E4438">
        <w:rPr>
          <w:rFonts w:ascii="Times New Roman" w:hAnsi="Times New Roman" w:cs="Times New Roman"/>
          <w:sz w:val="24"/>
          <w:szCs w:val="24"/>
        </w:rPr>
        <w:t xml:space="preserve"> penale “</w:t>
      </w:r>
      <w:r w:rsidR="00422526" w:rsidRPr="000E4438">
        <w:rPr>
          <w:rFonts w:ascii="Times New Roman" w:hAnsi="Times New Roman" w:cs="Times New Roman"/>
          <w:sz w:val="24"/>
          <w:szCs w:val="24"/>
        </w:rPr>
        <w:t>Vrasje me dashje</w:t>
      </w:r>
      <w:r w:rsidR="00E65020" w:rsidRPr="000E4438">
        <w:rPr>
          <w:rFonts w:ascii="Times New Roman" w:hAnsi="Times New Roman" w:cs="Times New Roman"/>
          <w:sz w:val="24"/>
          <w:szCs w:val="24"/>
        </w:rPr>
        <w:t>”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e kryer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bashk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punim</w:t>
      </w:r>
      <w:r w:rsidR="00E65020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0E4438">
        <w:rPr>
          <w:rFonts w:ascii="Times New Roman" w:hAnsi="Times New Roman" w:cs="Times New Roman"/>
          <w:sz w:val="24"/>
          <w:szCs w:val="24"/>
        </w:rPr>
        <w:t>parashikuar nga neni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76-2</w:t>
      </w:r>
      <w:r w:rsidR="00E65020" w:rsidRPr="000E4438">
        <w:rPr>
          <w:rFonts w:ascii="Times New Roman" w:hAnsi="Times New Roman" w:cs="Times New Roman"/>
          <w:sz w:val="24"/>
          <w:szCs w:val="24"/>
        </w:rPr>
        <w:t xml:space="preserve">5 </w:t>
      </w:r>
      <w:r w:rsidR="00C340D4" w:rsidRPr="000E443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340D4" w:rsidRPr="000E4438">
        <w:rPr>
          <w:rFonts w:ascii="Times New Roman" w:hAnsi="Times New Roman" w:cs="Times New Roman"/>
          <w:sz w:val="24"/>
          <w:szCs w:val="24"/>
        </w:rPr>
        <w:t>K.Penal</w:t>
      </w:r>
      <w:proofErr w:type="spellEnd"/>
      <w:r w:rsidR="00C340D4" w:rsidRPr="000E4438">
        <w:rPr>
          <w:rFonts w:ascii="Times New Roman" w:hAnsi="Times New Roman" w:cs="Times New Roman"/>
          <w:sz w:val="24"/>
          <w:szCs w:val="24"/>
        </w:rPr>
        <w:t>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C340D4" w:rsidRPr="000E4438">
        <w:rPr>
          <w:rFonts w:ascii="Times New Roman" w:hAnsi="Times New Roman" w:cs="Times New Roman"/>
          <w:sz w:val="24"/>
          <w:szCs w:val="24"/>
        </w:rPr>
        <w:t>Fabula trajton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rastin e vrasjes s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nj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shtetasi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D.K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nga dy shtetas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bashk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punim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rmjet tyre.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422526" w:rsidRPr="000E4438">
        <w:rPr>
          <w:rFonts w:ascii="Times New Roman" w:hAnsi="Times New Roman" w:cs="Times New Roman"/>
          <w:sz w:val="24"/>
          <w:szCs w:val="24"/>
        </w:rPr>
        <w:t>Shkaku q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pretendohet se ka ndodhur ngjarja ka </w:t>
      </w:r>
      <w:r w:rsidR="005A4B27" w:rsidRPr="000E4438">
        <w:rPr>
          <w:rFonts w:ascii="Times New Roman" w:hAnsi="Times New Roman" w:cs="Times New Roman"/>
          <w:sz w:val="24"/>
          <w:szCs w:val="24"/>
        </w:rPr>
        <w:t>qenë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r shkak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nj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konflikti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rmjet viktim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D.K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dhe shtetasi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i cili ky i fundit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shok i ngusht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me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pandehurit 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>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422526" w:rsidRPr="000E4438">
        <w:rPr>
          <w:rFonts w:ascii="Times New Roman" w:hAnsi="Times New Roman" w:cs="Times New Roman"/>
          <w:sz w:val="24"/>
          <w:szCs w:val="24"/>
        </w:rPr>
        <w:t>Nga akti i ekspertimit teknik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kamerave rezulton se viktima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D.K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ka </w:t>
      </w:r>
      <w:r w:rsidR="005A4B27" w:rsidRPr="000E4438">
        <w:rPr>
          <w:rFonts w:ascii="Times New Roman" w:hAnsi="Times New Roman" w:cs="Times New Roman"/>
          <w:sz w:val="24"/>
          <w:szCs w:val="24"/>
        </w:rPr>
        <w:t>qenë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makin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me shtetasin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J.N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dhe pasi ka ndaluar makin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n , viktima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D.K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 ka sulmuar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pandehuri</w:t>
      </w:r>
      <w:r w:rsidR="00E65020" w:rsidRPr="000E4438">
        <w:rPr>
          <w:rFonts w:ascii="Times New Roman" w:hAnsi="Times New Roman" w:cs="Times New Roman"/>
          <w:sz w:val="24"/>
          <w:szCs w:val="24"/>
        </w:rPr>
        <w:t>n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me </w:t>
      </w:r>
      <w:r w:rsidR="00DE4339" w:rsidRPr="000E4438">
        <w:rPr>
          <w:rFonts w:ascii="Times New Roman" w:hAnsi="Times New Roman" w:cs="Times New Roman"/>
          <w:sz w:val="24"/>
          <w:szCs w:val="24"/>
        </w:rPr>
        <w:t>një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mjet prer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s dhe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tentativë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r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goditur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r here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tret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, i pandehuri </w:t>
      </w:r>
      <w:proofErr w:type="spellStart"/>
      <w:r w:rsidR="00422526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422526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tërhequr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nga mbrojtja dhe e ka goditur me mjete shpues thik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 bark.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422526" w:rsidRPr="000E4438">
        <w:rPr>
          <w:rFonts w:ascii="Times New Roman" w:hAnsi="Times New Roman" w:cs="Times New Roman"/>
          <w:sz w:val="24"/>
          <w:szCs w:val="24"/>
        </w:rPr>
        <w:t>Pas k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422526" w:rsidRPr="000E4438">
        <w:rPr>
          <w:rFonts w:ascii="Times New Roman" w:hAnsi="Times New Roman" w:cs="Times New Roman"/>
          <w:sz w:val="24"/>
          <w:szCs w:val="24"/>
        </w:rPr>
        <w:t xml:space="preserve">saj goditje 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rezulton se i pandehuri pasi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rrezuar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çuar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dhe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larguar me vrap dhe m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pas ka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rruar jet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spital.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0E4438">
        <w:rPr>
          <w:rFonts w:ascii="Times New Roman" w:hAnsi="Times New Roman" w:cs="Times New Roman"/>
          <w:sz w:val="24"/>
          <w:szCs w:val="24"/>
        </w:rPr>
        <w:t>Nga ky akt rezulton se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rkohe q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i pandehuri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konfliktuar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D.K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, i pandehuri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ka mbajtur der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n e pasagjerit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mjetit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J.N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me dore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 disa sekonda, ku m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pas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hapur dera nga ky i fundit i cili ka filluar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godas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pandehurin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ku ky i fundit i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kundërpërgjigjur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dhe m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pas konflikti 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sht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rprer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rmjet tyre.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0E4438">
        <w:rPr>
          <w:rFonts w:ascii="Times New Roman" w:hAnsi="Times New Roman" w:cs="Times New Roman"/>
          <w:sz w:val="24"/>
          <w:szCs w:val="24"/>
        </w:rPr>
        <w:t>Nga procesverbali i k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qyrjes s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celular</w:t>
      </w:r>
      <w:r w:rsidR="00EA0F81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ve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pandehurve rezulton nj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bised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rmjet tyre ku i pandehuri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pretendohet se e ka </w:t>
      </w:r>
      <w:r w:rsidR="00DE4339" w:rsidRPr="000E4438">
        <w:rPr>
          <w:rFonts w:ascii="Times New Roman" w:hAnsi="Times New Roman" w:cs="Times New Roman"/>
          <w:sz w:val="24"/>
          <w:szCs w:val="24"/>
        </w:rPr>
        <w:t>paralajmëruar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dashur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n e vikt</w:t>
      </w:r>
      <w:r w:rsidR="00E65020" w:rsidRPr="000E4438">
        <w:rPr>
          <w:rFonts w:ascii="Times New Roman" w:hAnsi="Times New Roman" w:cs="Times New Roman"/>
          <w:sz w:val="24"/>
          <w:szCs w:val="24"/>
        </w:rPr>
        <w:t>i</w:t>
      </w:r>
      <w:r w:rsidR="00C7351C" w:rsidRPr="000E4438">
        <w:rPr>
          <w:rFonts w:ascii="Times New Roman" w:hAnsi="Times New Roman" w:cs="Times New Roman"/>
          <w:sz w:val="24"/>
          <w:szCs w:val="24"/>
        </w:rPr>
        <w:t>m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 ,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rsa </w:t>
      </w:r>
      <w:r w:rsidR="00E65020" w:rsidRPr="000E4438">
        <w:rPr>
          <w:rFonts w:ascii="Times New Roman" w:hAnsi="Times New Roman" w:cs="Times New Roman"/>
          <w:sz w:val="24"/>
          <w:szCs w:val="24"/>
        </w:rPr>
        <w:t xml:space="preserve">nga </w:t>
      </w:r>
      <w:r w:rsidR="00C7351C" w:rsidRPr="000E4438">
        <w:rPr>
          <w:rFonts w:ascii="Times New Roman" w:hAnsi="Times New Roman" w:cs="Times New Roman"/>
          <w:sz w:val="24"/>
          <w:szCs w:val="24"/>
        </w:rPr>
        <w:t>k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qyrja e telefonave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shtetases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F.D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>, pasagjerit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mjetit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J.N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dhe shokut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pandehurve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A.M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pretendohet se </w:t>
      </w:r>
      <w:r w:rsidR="00E65020" w:rsidRPr="000E4438">
        <w:rPr>
          <w:rFonts w:ascii="Times New Roman" w:hAnsi="Times New Roman" w:cs="Times New Roman"/>
          <w:sz w:val="24"/>
          <w:szCs w:val="24"/>
        </w:rPr>
        <w:t>provohet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ekzistenc</w:t>
      </w:r>
      <w:r w:rsidR="00E65020" w:rsidRPr="000E4438">
        <w:rPr>
          <w:rFonts w:ascii="Times New Roman" w:hAnsi="Times New Roman" w:cs="Times New Roman"/>
          <w:sz w:val="24"/>
          <w:szCs w:val="24"/>
        </w:rPr>
        <w:t>a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e konfliktit 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rmjet viktim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 dhe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pandehurve.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0E4438">
        <w:rPr>
          <w:rFonts w:ascii="Times New Roman" w:hAnsi="Times New Roman" w:cs="Times New Roman"/>
          <w:sz w:val="24"/>
          <w:szCs w:val="24"/>
        </w:rPr>
        <w:t>Nga procesverbali i k</w:t>
      </w:r>
      <w:r w:rsidR="00E65020" w:rsidRPr="000E4438">
        <w:rPr>
          <w:rFonts w:ascii="Times New Roman" w:hAnsi="Times New Roman" w:cs="Times New Roman"/>
          <w:sz w:val="24"/>
          <w:szCs w:val="24"/>
        </w:rPr>
        <w:t>ëq</w:t>
      </w:r>
      <w:r w:rsidR="00C7351C" w:rsidRPr="000E4438">
        <w:rPr>
          <w:rFonts w:ascii="Times New Roman" w:hAnsi="Times New Roman" w:cs="Times New Roman"/>
          <w:sz w:val="24"/>
          <w:szCs w:val="24"/>
        </w:rPr>
        <w:t>yrjes s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sistemit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TIMS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rezulton se i pandehuri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kishte ardhur nga </w:t>
      </w:r>
      <w:r w:rsidR="00DE4339" w:rsidRPr="000E4438">
        <w:rPr>
          <w:rFonts w:ascii="Times New Roman" w:hAnsi="Times New Roman" w:cs="Times New Roman"/>
          <w:sz w:val="24"/>
          <w:szCs w:val="24"/>
        </w:rPr>
        <w:t>Holanda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kat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 dit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para dit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 s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ndodhjes s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ngjarjes.</w:t>
      </w:r>
      <w:r w:rsidR="00DE4339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0E4438">
        <w:rPr>
          <w:rFonts w:ascii="Times New Roman" w:hAnsi="Times New Roman" w:cs="Times New Roman"/>
          <w:sz w:val="24"/>
          <w:szCs w:val="24"/>
        </w:rPr>
        <w:t>Nd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rsa nga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rgjimi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amb</w:t>
      </w:r>
      <w:r w:rsidR="00E65020" w:rsidRPr="000E4438">
        <w:rPr>
          <w:rFonts w:ascii="Times New Roman" w:hAnsi="Times New Roman" w:cs="Times New Roman"/>
          <w:sz w:val="24"/>
          <w:szCs w:val="24"/>
        </w:rPr>
        <w:t>i</w:t>
      </w:r>
      <w:r w:rsidR="00C7351C" w:rsidRPr="000E4438">
        <w:rPr>
          <w:rFonts w:ascii="Times New Roman" w:hAnsi="Times New Roman" w:cs="Times New Roman"/>
          <w:sz w:val="24"/>
          <w:szCs w:val="24"/>
        </w:rPr>
        <w:t>ental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amb</w:t>
      </w:r>
      <w:r w:rsidR="00E65020" w:rsidRPr="000E4438">
        <w:rPr>
          <w:rFonts w:ascii="Times New Roman" w:hAnsi="Times New Roman" w:cs="Times New Roman"/>
          <w:sz w:val="24"/>
          <w:szCs w:val="24"/>
        </w:rPr>
        <w:t>i</w:t>
      </w:r>
      <w:r w:rsidR="00C7351C" w:rsidRPr="000E4438">
        <w:rPr>
          <w:rFonts w:ascii="Times New Roman" w:hAnsi="Times New Roman" w:cs="Times New Roman"/>
          <w:sz w:val="24"/>
          <w:szCs w:val="24"/>
        </w:rPr>
        <w:t>entet e komisariatit ku ndodheshin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arrestuar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pandehurit rezulton nj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bised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ku ata komunikojn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q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mos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thojn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gj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, </w:t>
      </w:r>
      <w:r w:rsidR="00EA0F81" w:rsidRPr="000E4438">
        <w:rPr>
          <w:rFonts w:ascii="Times New Roman" w:hAnsi="Times New Roman" w:cs="Times New Roman"/>
          <w:sz w:val="24"/>
          <w:szCs w:val="24"/>
        </w:rPr>
        <w:t xml:space="preserve">dhe </w:t>
      </w:r>
      <w:r w:rsidR="00C7351C" w:rsidRPr="000E4438">
        <w:rPr>
          <w:rFonts w:ascii="Times New Roman" w:hAnsi="Times New Roman" w:cs="Times New Roman"/>
          <w:sz w:val="24"/>
          <w:szCs w:val="24"/>
        </w:rPr>
        <w:t>shprehen se jan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renduar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psikologjikisht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>.</w:t>
      </w:r>
    </w:p>
    <w:p w14:paraId="4AAC68D1" w14:textId="387F6911" w:rsidR="00C0496E" w:rsidRPr="000E4438" w:rsidRDefault="00C32E45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rfundim t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hetim</w:t>
      </w:r>
      <w:r w:rsidR="00A31FFB" w:rsidRPr="000E4438">
        <w:rPr>
          <w:rFonts w:ascii="Times New Roman" w:hAnsi="Times New Roman" w:cs="Times New Roman"/>
          <w:sz w:val="24"/>
          <w:szCs w:val="24"/>
        </w:rPr>
        <w:t>e</w:t>
      </w:r>
      <w:r w:rsidRPr="000E4438">
        <w:rPr>
          <w:rFonts w:ascii="Times New Roman" w:hAnsi="Times New Roman" w:cs="Times New Roman"/>
          <w:sz w:val="24"/>
          <w:szCs w:val="24"/>
        </w:rPr>
        <w:t xml:space="preserve">ve, </w:t>
      </w:r>
      <w:r w:rsidR="00DE4339" w:rsidRPr="000E4438">
        <w:rPr>
          <w:rFonts w:ascii="Times New Roman" w:hAnsi="Times New Roman" w:cs="Times New Roman"/>
          <w:sz w:val="24"/>
          <w:szCs w:val="24"/>
        </w:rPr>
        <w:t>prokuroria</w:t>
      </w:r>
      <w:r w:rsidRPr="000E4438">
        <w:rPr>
          <w:rFonts w:ascii="Times New Roman" w:hAnsi="Times New Roman" w:cs="Times New Roman"/>
          <w:sz w:val="24"/>
          <w:szCs w:val="24"/>
        </w:rPr>
        <w:t xml:space="preserve"> k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rkoi d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rgimin e </w:t>
      </w:r>
      <w:r w:rsidR="00DE4339" w:rsidRPr="000E4438">
        <w:rPr>
          <w:rFonts w:ascii="Times New Roman" w:hAnsi="Times New Roman" w:cs="Times New Roman"/>
          <w:sz w:val="24"/>
          <w:szCs w:val="24"/>
        </w:rPr>
        <w:t>çështjes</w:t>
      </w:r>
      <w:r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 gjykim p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 vepr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n penale “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Vrasje me dashje </w:t>
      </w:r>
      <w:r w:rsidRPr="000E4438">
        <w:rPr>
          <w:rFonts w:ascii="Times New Roman" w:hAnsi="Times New Roman" w:cs="Times New Roman"/>
          <w:sz w:val="24"/>
          <w:szCs w:val="24"/>
        </w:rPr>
        <w:t>”</w:t>
      </w:r>
      <w:r w:rsidR="00EA0F81" w:rsidRPr="000E4438">
        <w:rPr>
          <w:rFonts w:ascii="Times New Roman" w:hAnsi="Times New Roman" w:cs="Times New Roman"/>
          <w:sz w:val="24"/>
          <w:szCs w:val="24"/>
        </w:rPr>
        <w:t xml:space="preserve"> kryer në bashkëpunim</w:t>
      </w:r>
      <w:r w:rsidRPr="000E4438">
        <w:rPr>
          <w:rFonts w:ascii="Times New Roman" w:hAnsi="Times New Roman" w:cs="Times New Roman"/>
          <w:sz w:val="24"/>
          <w:szCs w:val="24"/>
        </w:rPr>
        <w:t xml:space="preserve"> parashikuar nga </w:t>
      </w:r>
      <w:r w:rsidR="00DE4339">
        <w:rPr>
          <w:rFonts w:ascii="Times New Roman" w:hAnsi="Times New Roman" w:cs="Times New Roman"/>
          <w:sz w:val="24"/>
          <w:szCs w:val="24"/>
        </w:rPr>
        <w:t>n</w:t>
      </w:r>
      <w:r w:rsidRPr="000E4438">
        <w:rPr>
          <w:rFonts w:ascii="Times New Roman" w:hAnsi="Times New Roman" w:cs="Times New Roman"/>
          <w:sz w:val="24"/>
          <w:szCs w:val="24"/>
        </w:rPr>
        <w:t xml:space="preserve">eni 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76-25 </w:t>
      </w:r>
      <w:r w:rsidR="00DE43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E4339">
        <w:rPr>
          <w:rFonts w:ascii="Times New Roman" w:hAnsi="Times New Roman" w:cs="Times New Roman"/>
          <w:sz w:val="24"/>
          <w:szCs w:val="24"/>
        </w:rPr>
        <w:t>K</w:t>
      </w:r>
      <w:r w:rsidR="00A31FFB" w:rsidRPr="000E443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DE4339">
        <w:rPr>
          <w:rFonts w:ascii="Times New Roman" w:hAnsi="Times New Roman" w:cs="Times New Roman"/>
          <w:sz w:val="24"/>
          <w:szCs w:val="24"/>
        </w:rPr>
        <w:t>-së</w:t>
      </w:r>
      <w:r w:rsidR="00C7351C" w:rsidRPr="000E4438">
        <w:rPr>
          <w:rFonts w:ascii="Times New Roman" w:hAnsi="Times New Roman" w:cs="Times New Roman"/>
          <w:sz w:val="24"/>
          <w:szCs w:val="24"/>
        </w:rPr>
        <w:t>.</w:t>
      </w:r>
    </w:p>
    <w:p w14:paraId="13E122B4" w14:textId="23474484" w:rsidR="0017480C" w:rsidRPr="00DE4339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39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82039065"/>
      <w:r w:rsidRPr="00DE4339">
        <w:rPr>
          <w:rFonts w:ascii="Times New Roman" w:hAnsi="Times New Roman" w:cs="Times New Roman"/>
          <w:b/>
          <w:sz w:val="24"/>
          <w:szCs w:val="24"/>
        </w:rPr>
        <w:t xml:space="preserve">lidhje me </w:t>
      </w:r>
      <w:r w:rsidR="00A31FFB" w:rsidRPr="00DE4339">
        <w:rPr>
          <w:rFonts w:ascii="Times New Roman" w:hAnsi="Times New Roman" w:cs="Times New Roman"/>
          <w:b/>
          <w:sz w:val="24"/>
          <w:szCs w:val="24"/>
        </w:rPr>
        <w:t>ç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 xml:space="preserve">shtjen </w:t>
      </w:r>
      <w:bookmarkEnd w:id="0"/>
      <w:r w:rsidRPr="00DE4339">
        <w:rPr>
          <w:rFonts w:ascii="Times New Roman" w:hAnsi="Times New Roman" w:cs="Times New Roman"/>
          <w:b/>
          <w:sz w:val="24"/>
          <w:szCs w:val="24"/>
        </w:rPr>
        <w:t>e dyt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225990AD" w:rsidR="004C1510" w:rsidRPr="000E4438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dy </w:t>
      </w:r>
      <w:r w:rsidRPr="000E4438">
        <w:rPr>
          <w:rFonts w:ascii="Times New Roman" w:hAnsi="Times New Roman" w:cs="Times New Roman"/>
          <w:sz w:val="24"/>
          <w:szCs w:val="24"/>
        </w:rPr>
        <w:t>faza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duke mund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>suar</w:t>
      </w:r>
      <w:r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rfshir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jen </w:t>
      </w:r>
      <w:r w:rsidRPr="000E443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38">
        <w:rPr>
          <w:rFonts w:ascii="Times New Roman" w:hAnsi="Times New Roman" w:cs="Times New Roman"/>
          <w:sz w:val="24"/>
          <w:szCs w:val="24"/>
        </w:rPr>
        <w:t>proceduriale</w:t>
      </w:r>
      <w:proofErr w:type="spellEnd"/>
      <w:r w:rsidRPr="000E443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0E44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37752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Pr="000E4438">
        <w:rPr>
          <w:rFonts w:ascii="Times New Roman" w:hAnsi="Times New Roman" w:cs="Times New Roman"/>
          <w:sz w:val="24"/>
          <w:szCs w:val="24"/>
        </w:rPr>
        <w:t>gjith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="00837752" w:rsidRPr="000E4438">
        <w:rPr>
          <w:rFonts w:ascii="Times New Roman" w:hAnsi="Times New Roman" w:cs="Times New Roman"/>
          <w:sz w:val="24"/>
          <w:szCs w:val="24"/>
        </w:rPr>
        <w:t>ve</w:t>
      </w:r>
      <w:r w:rsidRPr="000E4438">
        <w:rPr>
          <w:rFonts w:ascii="Times New Roman" w:hAnsi="Times New Roman" w:cs="Times New Roman"/>
          <w:sz w:val="24"/>
          <w:szCs w:val="24"/>
        </w:rPr>
        <w:t xml:space="preserve"> pjes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marr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s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tij gjykimi.</w:t>
      </w:r>
      <w:r w:rsidR="00C32E45" w:rsidRPr="000E4438">
        <w:rPr>
          <w:rFonts w:ascii="Times New Roman" w:hAnsi="Times New Roman" w:cs="Times New Roman"/>
          <w:sz w:val="24"/>
          <w:szCs w:val="24"/>
        </w:rPr>
        <w:t>, role t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karakterit kryesor dhe role t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karakterit dyt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>sor:</w:t>
      </w:r>
    </w:p>
    <w:p w14:paraId="448CC232" w14:textId="34516C1E" w:rsidR="0063432E" w:rsidRPr="00DE4339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39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07AF4191" w14:textId="341E70A0" w:rsidR="0063432E" w:rsidRPr="000E4438" w:rsidRDefault="00C0496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Seanca paraprake ku u shqyrtua</w:t>
      </w:r>
      <w:r w:rsidR="00EA0F81" w:rsidRPr="000E4438">
        <w:rPr>
          <w:rFonts w:ascii="Times New Roman" w:hAnsi="Times New Roman" w:cs="Times New Roman"/>
          <w:sz w:val="24"/>
          <w:szCs w:val="24"/>
        </w:rPr>
        <w:t>n</w:t>
      </w:r>
      <w:r w:rsidRPr="000E4438">
        <w:rPr>
          <w:rFonts w:ascii="Times New Roman" w:hAnsi="Times New Roman" w:cs="Times New Roman"/>
          <w:sz w:val="24"/>
          <w:szCs w:val="24"/>
        </w:rPr>
        <w:t xml:space="preserve"> pretendimet e mbrojtjes p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 pavlefshm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ri 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aktesh </w:t>
      </w:r>
      <w:r w:rsidRPr="000E4438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Pr="000E4438">
        <w:rPr>
          <w:rFonts w:ascii="Times New Roman" w:hAnsi="Times New Roman" w:cs="Times New Roman"/>
          <w:sz w:val="24"/>
          <w:szCs w:val="24"/>
        </w:rPr>
        <w:t>pap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rdorshm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E4438">
        <w:rPr>
          <w:rFonts w:ascii="Times New Roman" w:hAnsi="Times New Roman" w:cs="Times New Roman"/>
          <w:sz w:val="24"/>
          <w:szCs w:val="24"/>
        </w:rPr>
        <w:t xml:space="preserve"> provash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si dhe k</w:t>
      </w:r>
      <w:r w:rsidR="00EA0F81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>rk</w:t>
      </w:r>
      <w:r w:rsidR="00EA0F81" w:rsidRPr="000E4438">
        <w:rPr>
          <w:rFonts w:ascii="Times New Roman" w:hAnsi="Times New Roman" w:cs="Times New Roman"/>
          <w:sz w:val="24"/>
          <w:szCs w:val="24"/>
        </w:rPr>
        <w:t>e</w:t>
      </w:r>
      <w:r w:rsidR="00C32E45" w:rsidRPr="000E4438">
        <w:rPr>
          <w:rFonts w:ascii="Times New Roman" w:hAnsi="Times New Roman" w:cs="Times New Roman"/>
          <w:sz w:val="24"/>
          <w:szCs w:val="24"/>
        </w:rPr>
        <w:t>sa</w:t>
      </w:r>
      <w:r w:rsidR="00EA0F81" w:rsidRPr="000E4438">
        <w:rPr>
          <w:rFonts w:ascii="Times New Roman" w:hAnsi="Times New Roman" w:cs="Times New Roman"/>
          <w:sz w:val="24"/>
          <w:szCs w:val="24"/>
        </w:rPr>
        <w:t>t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r pushimin e </w:t>
      </w:r>
      <w:r w:rsidR="00C7351C" w:rsidRPr="000E4438">
        <w:rPr>
          <w:rFonts w:ascii="Times New Roman" w:hAnsi="Times New Roman" w:cs="Times New Roman"/>
          <w:sz w:val="24"/>
          <w:szCs w:val="24"/>
        </w:rPr>
        <w:t>akuz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penale </w:t>
      </w:r>
      <w:r w:rsidR="00C7351C" w:rsidRPr="000E4438">
        <w:rPr>
          <w:rFonts w:ascii="Times New Roman" w:hAnsi="Times New Roman" w:cs="Times New Roman"/>
          <w:sz w:val="24"/>
          <w:szCs w:val="24"/>
        </w:rPr>
        <w:t>ndaj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pandehurit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 shkak se fakti nuk parashikohet nga ligji si vep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 penale dhe pushimin e aku</w:t>
      </w:r>
      <w:r w:rsidR="00EA0F81" w:rsidRPr="000E4438">
        <w:rPr>
          <w:rFonts w:ascii="Times New Roman" w:hAnsi="Times New Roman" w:cs="Times New Roman"/>
          <w:sz w:val="24"/>
          <w:szCs w:val="24"/>
        </w:rPr>
        <w:t>z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 p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r t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 xml:space="preserve"> pandehurin </w:t>
      </w:r>
      <w:proofErr w:type="spellStart"/>
      <w:r w:rsidR="00C7351C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C7351C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C32E45" w:rsidRPr="000E4438">
        <w:rPr>
          <w:rFonts w:ascii="Times New Roman" w:hAnsi="Times New Roman" w:cs="Times New Roman"/>
          <w:sz w:val="24"/>
          <w:szCs w:val="24"/>
        </w:rPr>
        <w:t>p</w:t>
      </w:r>
      <w:r w:rsidR="00837752" w:rsidRPr="000E4438">
        <w:rPr>
          <w:rFonts w:ascii="Times New Roman" w:hAnsi="Times New Roman" w:cs="Times New Roman"/>
          <w:sz w:val="24"/>
          <w:szCs w:val="24"/>
        </w:rPr>
        <w:t>ë</w:t>
      </w:r>
      <w:r w:rsidR="00C32E45" w:rsidRPr="000E4438">
        <w:rPr>
          <w:rFonts w:ascii="Times New Roman" w:hAnsi="Times New Roman" w:cs="Times New Roman"/>
          <w:sz w:val="24"/>
          <w:szCs w:val="24"/>
        </w:rPr>
        <w:t>r shkak se nuk provohej kryerja e vepr</w:t>
      </w:r>
      <w:r w:rsidR="00E65020" w:rsidRPr="000E4438">
        <w:rPr>
          <w:rFonts w:ascii="Times New Roman" w:hAnsi="Times New Roman" w:cs="Times New Roman"/>
          <w:sz w:val="24"/>
          <w:szCs w:val="24"/>
        </w:rPr>
        <w:t>ë</w:t>
      </w:r>
      <w:r w:rsidR="00C7351C" w:rsidRPr="000E4438">
        <w:rPr>
          <w:rFonts w:ascii="Times New Roman" w:hAnsi="Times New Roman" w:cs="Times New Roman"/>
          <w:sz w:val="24"/>
          <w:szCs w:val="24"/>
        </w:rPr>
        <w:t>s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penale </w:t>
      </w:r>
      <w:r w:rsidR="00C7351C" w:rsidRPr="000E4438">
        <w:rPr>
          <w:rFonts w:ascii="Times New Roman" w:hAnsi="Times New Roman" w:cs="Times New Roman"/>
          <w:sz w:val="24"/>
          <w:szCs w:val="24"/>
        </w:rPr>
        <w:t>prej tij.</w:t>
      </w:r>
    </w:p>
    <w:p w14:paraId="49D70223" w14:textId="692EC11D" w:rsidR="00720117" w:rsidRPr="000E4438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0E4438">
        <w:rPr>
          <w:rFonts w:ascii="Times New Roman" w:hAnsi="Times New Roman" w:cs="Times New Roman"/>
          <w:sz w:val="24"/>
          <w:szCs w:val="24"/>
        </w:rPr>
        <w:t>ku iu n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hAnsi="Times New Roman" w:cs="Times New Roman"/>
          <w:sz w:val="24"/>
          <w:szCs w:val="24"/>
        </w:rPr>
        <w:t>nshtrua hetimit gjyq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hAnsi="Times New Roman" w:cs="Times New Roman"/>
          <w:sz w:val="24"/>
          <w:szCs w:val="24"/>
        </w:rPr>
        <w:t>rkuara nga ana e prokuroris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hAnsi="Times New Roman" w:cs="Times New Roman"/>
          <w:sz w:val="24"/>
          <w:szCs w:val="24"/>
        </w:rPr>
        <w:t xml:space="preserve"> dhe mbrojt</w:t>
      </w:r>
      <w:r w:rsidR="00C7351C" w:rsidRPr="000E4438">
        <w:rPr>
          <w:rFonts w:ascii="Times New Roman" w:hAnsi="Times New Roman" w:cs="Times New Roman"/>
          <w:sz w:val="24"/>
          <w:szCs w:val="24"/>
        </w:rPr>
        <w:t>ja</w:t>
      </w:r>
      <w:r w:rsidR="00C0496E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C7351C" w:rsidRPr="000E4438">
        <w:rPr>
          <w:rFonts w:ascii="Times New Roman" w:hAnsi="Times New Roman" w:cs="Times New Roman"/>
          <w:sz w:val="24"/>
          <w:szCs w:val="24"/>
        </w:rPr>
        <w:t>e</w:t>
      </w:r>
      <w:r w:rsidR="00C0496E" w:rsidRPr="000E4438">
        <w:rPr>
          <w:rFonts w:ascii="Times New Roman" w:hAnsi="Times New Roman" w:cs="Times New Roman"/>
          <w:sz w:val="24"/>
          <w:szCs w:val="24"/>
        </w:rPr>
        <w:t xml:space="preserve"> t</w:t>
      </w:r>
      <w:r w:rsidR="006E1538" w:rsidRPr="000E4438">
        <w:rPr>
          <w:rFonts w:ascii="Times New Roman" w:hAnsi="Times New Roman" w:cs="Times New Roman"/>
          <w:sz w:val="24"/>
          <w:szCs w:val="24"/>
        </w:rPr>
        <w:t>ë</w:t>
      </w:r>
      <w:r w:rsidR="00C0496E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="00DE4339" w:rsidRPr="000E4438">
        <w:rPr>
          <w:rFonts w:ascii="Times New Roman" w:hAnsi="Times New Roman" w:cs="Times New Roman"/>
          <w:sz w:val="24"/>
          <w:szCs w:val="24"/>
        </w:rPr>
        <w:t>pandehurve</w:t>
      </w:r>
      <w:r w:rsidR="00837752" w:rsidRPr="000E4438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0E4438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6D67DBFC" w:rsidR="0063432E" w:rsidRPr="00DE4339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39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5D" w:rsidRPr="00DE4339">
        <w:rPr>
          <w:rFonts w:ascii="Times New Roman" w:hAnsi="Times New Roman" w:cs="Times New Roman"/>
          <w:b/>
          <w:sz w:val="24"/>
          <w:szCs w:val="24"/>
        </w:rPr>
        <w:t xml:space="preserve">lidhje me çështjen </w:t>
      </w:r>
      <w:r w:rsidRPr="00DE4339">
        <w:rPr>
          <w:rFonts w:ascii="Times New Roman" w:hAnsi="Times New Roman" w:cs="Times New Roman"/>
          <w:b/>
          <w:sz w:val="24"/>
          <w:szCs w:val="24"/>
        </w:rPr>
        <w:t>e tret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>ë</w:t>
      </w:r>
      <w:r w:rsidRPr="00DE43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DE43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32E5CF0E" w:rsidR="0063432E" w:rsidRPr="000E4438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>Gjat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saj </w:t>
      </w:r>
      <w:r w:rsidR="00DE4339" w:rsidRPr="000E4438">
        <w:rPr>
          <w:rFonts w:ascii="Times New Roman" w:hAnsi="Times New Roman" w:cs="Times New Roman"/>
          <w:sz w:val="24"/>
          <w:szCs w:val="24"/>
        </w:rPr>
        <w:t>çështje</w:t>
      </w:r>
      <w:r w:rsidR="00C32E45" w:rsidRPr="000E4438">
        <w:rPr>
          <w:rFonts w:ascii="Times New Roman" w:hAnsi="Times New Roman" w:cs="Times New Roman"/>
          <w:sz w:val="24"/>
          <w:szCs w:val="24"/>
        </w:rPr>
        <w:t xml:space="preserve"> penale, </w:t>
      </w:r>
      <w:r w:rsidRPr="000E4438">
        <w:rPr>
          <w:rFonts w:ascii="Times New Roman" w:hAnsi="Times New Roman" w:cs="Times New Roman"/>
          <w:sz w:val="24"/>
          <w:szCs w:val="24"/>
        </w:rPr>
        <w:t>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ve,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DE4339" w:rsidRPr="000E4438">
        <w:rPr>
          <w:rFonts w:ascii="Times New Roman" w:hAnsi="Times New Roman" w:cs="Times New Roman"/>
          <w:sz w:val="24"/>
          <w:szCs w:val="24"/>
        </w:rPr>
        <w:t>çështjet</w:t>
      </w:r>
      <w:r w:rsidRPr="000E4438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0E4438">
        <w:rPr>
          <w:rFonts w:ascii="Times New Roman" w:hAnsi="Times New Roman" w:cs="Times New Roman"/>
          <w:sz w:val="24"/>
          <w:szCs w:val="24"/>
        </w:rPr>
        <w:t>ë</w:t>
      </w:r>
      <w:r w:rsidRPr="000E4438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5C86EBE0" w14:textId="6143A3DA" w:rsidR="00C0496E" w:rsidRPr="000E4438" w:rsidRDefault="00C0496E" w:rsidP="00C0496E">
      <w:pPr>
        <w:spacing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E443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Çështje procedurale </w:t>
      </w:r>
      <w:r w:rsidR="006E1538" w:rsidRPr="000E443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që u trajtuan</w:t>
      </w:r>
      <w:r w:rsidRPr="000E443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08D1C1E2" w14:textId="20F54B4A" w:rsidR="00C7351C" w:rsidRPr="000E4438" w:rsidRDefault="00C7351C" w:rsidP="00C32E4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Aspektet </w:t>
      </w:r>
      <w:r w:rsidR="005A4B27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procedurale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lidhur me 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rgjimin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amb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ental</w:t>
      </w:r>
      <w:proofErr w:type="spellEnd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dhomat e komisari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at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it .N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lidhje me k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aspekt u ngrit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 pretendime nga mbrojtja se komisariati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nj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vend privat dhe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rgjimi me audio i personave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amb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ent nuk duhet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kryhej me autorizim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prokurorit por me vendim gjykat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ose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vleft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sohej me vendim gjykate duke iu referuar praktik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Gjykat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Lart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  <w:r w:rsidR="00DE433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Kjo </w:t>
      </w:r>
      <w:r w:rsidR="00DE4339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çështje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u trajtua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kuadrin e pavlefshm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ris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aktit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autorizimit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prokurorit dhe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pap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rdorshm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ris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proofErr w:type="spellEnd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rezultatit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rgjimit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amb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ental</w:t>
      </w:r>
      <w:proofErr w:type="spellEnd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FB65178" w14:textId="032A386F" w:rsidR="00CC3BCB" w:rsidRPr="000E4438" w:rsidRDefault="00DE4339" w:rsidP="00C32E4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Aspektet procedur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ale lidhur me njohjen e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pandehurve nga shtetasi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J.N</w:t>
      </w:r>
      <w:proofErr w:type="spellEnd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lidhje me k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aspekt u pretendua kryerja e procedur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 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së njohjes 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shkelje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nenit 171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KP</w:t>
      </w:r>
      <w:proofErr w:type="spellEnd"/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pasi shtetasi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J.N</w:t>
      </w:r>
      <w:proofErr w:type="spellEnd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ka pa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ur rrethana q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ndikojn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vërtetësinë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njohjes si dhe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shkelje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nenit 172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KP</w:t>
      </w:r>
      <w:proofErr w:type="spellEnd"/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shkak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nyr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 s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zhvillimit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njohjes duke u pretenduar se personat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procedurën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njohjes nuk ishin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ngjash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 me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pandehurit dhe se i pandehuri nuk ishte vendosur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njëjta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me kushtet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cil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 mund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ishte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par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nga personi q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do 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b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nte njohjen.</w:t>
      </w:r>
      <w: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 k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aspekt u referua edhe n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jurisprudenc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n e </w:t>
      </w:r>
      <w:proofErr w:type="spellStart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GJEDNJ</w:t>
      </w:r>
      <w:proofErr w:type="spellEnd"/>
      <w:r w:rsidR="00CC3BC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Kjo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çështje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trajtua në kuadrin e </w:t>
      </w:r>
      <w:proofErr w:type="spellStart"/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papërdorshmërisë</w:t>
      </w:r>
      <w:proofErr w:type="spellEnd"/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së provës dhe pavlefshmërisë së aktit.</w:t>
      </w:r>
    </w:p>
    <w:p w14:paraId="43188BFC" w14:textId="509E2A08" w:rsidR="00C32E45" w:rsidRPr="000E4438" w:rsidRDefault="00C32E45" w:rsidP="00C32E4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Aspektet procedurale të sekuestrimit, k</w:t>
      </w:r>
      <w:r w:rsidR="00EA0F81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qyrjes </w:t>
      </w:r>
      <w:r w:rsidR="00EA0F81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 celularit. N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lidhje me k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aspekt u ngrit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pretendime nga mbrojtja se n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kushtet q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celul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 e sekuestru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ndodheshin biseda t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cilat sipas praktik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s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GJEDNJ</w:t>
      </w:r>
      <w:proofErr w:type="spellEnd"/>
      <w:r w:rsidR="00DE43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-së</w:t>
      </w: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konsiderohe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 pjes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t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drejt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p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jet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private sipas nenit 8 t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KEDNJ</w:t>
      </w:r>
      <w:proofErr w:type="spellEnd"/>
      <w:r w:rsidR="00DE43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-së, </w:t>
      </w:r>
      <w:r w:rsidR="00DE4339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atëherë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E4339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këqyrja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saj nuk duhej b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nga oficeri i policis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gjyq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sore dhe 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sekuestrimi i tyre duhej b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vendim prokurori t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arsyetuar mbi </w:t>
      </w:r>
      <w:r w:rsidR="00DE4339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domosdoshmërinë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sekuestrimit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1" w:name="_Hlk190357761"/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Kjo </w:t>
      </w:r>
      <w:r w:rsidR="00DE4339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çështje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trajtua n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kuadrin e </w:t>
      </w:r>
      <w:proofErr w:type="spellStart"/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pap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rdorshm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proofErr w:type="spellEnd"/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prov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A31FF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dhe pavlefshm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837752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ë</w:t>
      </w:r>
      <w:r w:rsidR="007818ED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aktit</w:t>
      </w:r>
      <w:bookmarkEnd w:id="1"/>
      <w:r w:rsidR="00CC3BCB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9E17AD0" w14:textId="3CA20DEE" w:rsidR="00CC3BCB" w:rsidRPr="000E4438" w:rsidRDefault="00CC3BCB" w:rsidP="00C32E45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Trajtimi i aspekteve 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që lidhen me pushimin e akuzës në fazën e seancës paraprake ku nga mbrojtja u pretendua pushimi i akuzës për shkak se fakti nuk parashikohet nga ligji si vepër penale për shkak të ekzistencës së kushteve të mbrojtjes së nevojshme dhe për shkak se nuk provohet kryerja e </w:t>
      </w:r>
      <w:r w:rsidR="00DE4339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veprës</w:t>
      </w:r>
      <w:r w:rsidR="00E65020" w:rsidRPr="000E44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penale nga një prej të pandehurve.</w:t>
      </w:r>
    </w:p>
    <w:p w14:paraId="4CB86FC2" w14:textId="77777777" w:rsidR="00CC3BCB" w:rsidRDefault="00CC3BCB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D561498" w14:textId="77777777" w:rsidR="005A4B27" w:rsidRDefault="005A4B27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A610CB1" w14:textId="77777777" w:rsidR="005A4B27" w:rsidRDefault="005A4B27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830DDB6" w14:textId="77777777" w:rsidR="005A4B27" w:rsidRDefault="005A4B27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5B648CF" w14:textId="77777777" w:rsidR="005A4B27" w:rsidRPr="000E4438" w:rsidRDefault="005A4B27" w:rsidP="00CC3BCB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C2DF276" w14:textId="4D5769FA" w:rsidR="00C0496E" w:rsidRPr="000E4438" w:rsidRDefault="00C0496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E443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Çështje materiale për t</w:t>
      </w:r>
      <w:r w:rsidR="00DE4339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’</w:t>
      </w:r>
      <w:r w:rsidRPr="000E4438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u trajtuar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4379E8D0" w14:textId="77777777" w:rsidR="00BF4E1E" w:rsidRPr="000E4438" w:rsidRDefault="00BF4E1E" w:rsidP="00BF4E1E">
      <w:p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9BB6FB5" w14:textId="360598EC" w:rsidR="00C0496E" w:rsidRPr="000E4438" w:rsidRDefault="007818ED" w:rsidP="00C0496E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 mban p</w:t>
      </w:r>
      <w:r w:rsidR="00837752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rgjegj</w:t>
      </w:r>
      <w:r w:rsidR="00837752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si </w:t>
      </w:r>
      <w:proofErr w:type="spellStart"/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.I</w:t>
      </w:r>
      <w:proofErr w:type="spellEnd"/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</w:t>
      </w:r>
      <w:r w:rsidR="00837752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r </w:t>
      </w:r>
      <w:r w:rsidR="00DE4339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veprën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penale “</w:t>
      </w:r>
      <w:r w:rsidR="00E65020" w:rsidRPr="000E4438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Vrasje me dashje</w:t>
      </w:r>
      <w:r w:rsidR="00A31FFB" w:rsidRPr="000E4438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”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 kryer në bashkëpunim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31FF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parashikuar nga Neni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76-25 </w:t>
      </w:r>
      <w:r w:rsidR="00DE433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 </w:t>
      </w:r>
      <w:proofErr w:type="spellStart"/>
      <w:r w:rsidR="00DE433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</w:t>
      </w:r>
      <w:r w:rsidR="00A31FFB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proofErr w:type="spellEnd"/>
      <w:r w:rsidR="00DE433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</w:t>
      </w:r>
      <w:r w:rsidR="00A61AF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apo provohet se i pandehuri </w:t>
      </w:r>
      <w:proofErr w:type="spellStart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A.I</w:t>
      </w:r>
      <w:proofErr w:type="spellEnd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ka q</w:t>
      </w:r>
      <w:r w:rsidR="00A61AF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 në kushtet e mbrojtjes së nevojshme pasi e ka kryer goditjen pas sulmit të tretë nga ana e viktimës?</w:t>
      </w:r>
    </w:p>
    <w:p w14:paraId="6E27A9D8" w14:textId="3C578F6D" w:rsidR="00E65020" w:rsidRPr="000E4438" w:rsidRDefault="00C0496E" w:rsidP="00E51EAE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 mban përgjegjësi </w:t>
      </w:r>
      <w:proofErr w:type="spellStart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E.H</w:t>
      </w:r>
      <w:proofErr w:type="spellEnd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 për veprën penale të “</w:t>
      </w:r>
      <w:r w:rsidR="00E65020" w:rsidRPr="000E4438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Vrasje me dashje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kryer në bashkëpunim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sipas nenit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76-25</w:t>
      </w:r>
      <w:r w:rsidR="00A61AF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të </w:t>
      </w:r>
      <w:proofErr w:type="spellStart"/>
      <w:r w:rsidR="00A61AF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</w:t>
      </w:r>
      <w:r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</w:t>
      </w:r>
      <w:proofErr w:type="spellEnd"/>
      <w:r w:rsidR="00A61AF7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="007818ED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apo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mban përgjegjësi për veprën penale “</w:t>
      </w:r>
      <w:r w:rsidR="00E65020" w:rsidRPr="000E4438">
        <w:rPr>
          <w:rFonts w:ascii="Times New Roman" w:eastAsia="Aptos" w:hAnsi="Times New Roman" w:cs="Times New Roman"/>
          <w:i/>
          <w:iCs/>
          <w:kern w:val="2"/>
          <w:sz w:val="24"/>
          <w:szCs w:val="24"/>
          <w14:ligatures w14:val="standardContextual"/>
        </w:rPr>
        <w:t>Moskallëzimi i krimit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” parashikuar nga neni 300 i </w:t>
      </w:r>
      <w:proofErr w:type="spellStart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KP</w:t>
      </w:r>
      <w:proofErr w:type="spellEnd"/>
      <w:r w:rsidR="0068639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-së</w:t>
      </w:r>
      <w:r w:rsidR="007818ED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, n</w:t>
      </w:r>
      <w:r w:rsidR="00837752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kushtet q</w:t>
      </w:r>
      <w:r w:rsidR="00837752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ë</w:t>
      </w:r>
      <w:r w:rsidR="007818ED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i pandehuri </w:t>
      </w:r>
      <w:proofErr w:type="spellStart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E.H</w:t>
      </w:r>
      <w:proofErr w:type="spellEnd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vetëm është </w:t>
      </w:r>
      <w:proofErr w:type="spellStart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konfli</w:t>
      </w:r>
      <w:bookmarkStart w:id="2" w:name="_GoBack"/>
      <w:bookmarkEnd w:id="2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ktuar</w:t>
      </w:r>
      <w:proofErr w:type="spellEnd"/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me shokun e vikt</w:t>
      </w:r>
      <w:r w:rsidR="00EA0F81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i</w:t>
      </w:r>
      <w:r w:rsidR="00E65020" w:rsidRPr="000E4438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mës.</w:t>
      </w:r>
    </w:p>
    <w:p w14:paraId="440436F1" w14:textId="77777777" w:rsidR="00E65020" w:rsidRPr="000E4438" w:rsidRDefault="00E65020" w:rsidP="00E6502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4C26EDF3" w:rsidR="00F16B39" w:rsidRPr="000E4438" w:rsidRDefault="009117DA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 xml:space="preserve">Gjatë procesit gjyqësor të zhvilluar subjektet e procesit, ndërmorën veprime duke </w:t>
      </w:r>
      <w:r w:rsidR="00A31FFB" w:rsidRPr="000E4438">
        <w:rPr>
          <w:rFonts w:ascii="Times New Roman" w:hAnsi="Times New Roman" w:cs="Times New Roman"/>
          <w:sz w:val="24"/>
          <w:szCs w:val="24"/>
        </w:rPr>
        <w:t>i</w:t>
      </w:r>
      <w:r w:rsidRPr="000E4438">
        <w:rPr>
          <w:rFonts w:ascii="Times New Roman" w:hAnsi="Times New Roman" w:cs="Times New Roman"/>
          <w:sz w:val="24"/>
          <w:szCs w:val="24"/>
        </w:rPr>
        <w:t>u referuar dhe analizuar legjislacioni</w:t>
      </w:r>
      <w:r w:rsidR="00A31FFB" w:rsidRPr="000E4438">
        <w:rPr>
          <w:rFonts w:ascii="Times New Roman" w:hAnsi="Times New Roman" w:cs="Times New Roman"/>
          <w:sz w:val="24"/>
          <w:szCs w:val="24"/>
        </w:rPr>
        <w:t>n</w:t>
      </w:r>
      <w:r w:rsidRPr="000E4438">
        <w:rPr>
          <w:rFonts w:ascii="Times New Roman" w:hAnsi="Times New Roman" w:cs="Times New Roman"/>
          <w:sz w:val="24"/>
          <w:szCs w:val="24"/>
        </w:rPr>
        <w:t xml:space="preserve"> material dhe </w:t>
      </w:r>
      <w:r w:rsidR="00A61AF7" w:rsidRPr="000E4438">
        <w:rPr>
          <w:rFonts w:ascii="Times New Roman" w:hAnsi="Times New Roman" w:cs="Times New Roman"/>
          <w:sz w:val="24"/>
          <w:szCs w:val="24"/>
        </w:rPr>
        <w:t>procedural</w:t>
      </w:r>
      <w:r w:rsidRPr="000E4438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</w:t>
      </w:r>
      <w:r w:rsidR="00A31FFB" w:rsidRPr="000E4438">
        <w:rPr>
          <w:rFonts w:ascii="Times New Roman" w:hAnsi="Times New Roman" w:cs="Times New Roman"/>
          <w:sz w:val="24"/>
          <w:szCs w:val="24"/>
        </w:rPr>
        <w:t xml:space="preserve">legjislacionin ndërkombëtar, </w:t>
      </w:r>
      <w:r w:rsidR="00837752" w:rsidRPr="000E4438">
        <w:rPr>
          <w:rFonts w:ascii="Times New Roman" w:hAnsi="Times New Roman" w:cs="Times New Roman"/>
          <w:sz w:val="24"/>
          <w:szCs w:val="24"/>
        </w:rPr>
        <w:t xml:space="preserve"> vendime</w:t>
      </w:r>
      <w:r w:rsidR="00A31FFB" w:rsidRPr="000E4438">
        <w:rPr>
          <w:rFonts w:ascii="Times New Roman" w:hAnsi="Times New Roman" w:cs="Times New Roman"/>
          <w:sz w:val="24"/>
          <w:szCs w:val="24"/>
        </w:rPr>
        <w:t>t e</w:t>
      </w:r>
      <w:r w:rsidR="00837752" w:rsidRPr="000E4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52" w:rsidRPr="000E4438">
        <w:rPr>
          <w:rFonts w:ascii="Times New Roman" w:hAnsi="Times New Roman" w:cs="Times New Roman"/>
          <w:sz w:val="24"/>
          <w:szCs w:val="24"/>
        </w:rPr>
        <w:t>GJEDNJ</w:t>
      </w:r>
      <w:proofErr w:type="spellEnd"/>
      <w:r w:rsidR="00A61AF7">
        <w:rPr>
          <w:rFonts w:ascii="Times New Roman" w:hAnsi="Times New Roman" w:cs="Times New Roman"/>
          <w:sz w:val="24"/>
          <w:szCs w:val="24"/>
        </w:rPr>
        <w:t>-së</w:t>
      </w:r>
      <w:r w:rsidR="00837752" w:rsidRPr="000E4438">
        <w:rPr>
          <w:rFonts w:ascii="Times New Roman" w:hAnsi="Times New Roman" w:cs="Times New Roman"/>
          <w:sz w:val="24"/>
          <w:szCs w:val="24"/>
        </w:rPr>
        <w:t>, vendime</w:t>
      </w:r>
      <w:r w:rsidR="00A31FFB" w:rsidRPr="000E4438">
        <w:rPr>
          <w:rFonts w:ascii="Times New Roman" w:hAnsi="Times New Roman" w:cs="Times New Roman"/>
          <w:sz w:val="24"/>
          <w:szCs w:val="24"/>
        </w:rPr>
        <w:t>t e</w:t>
      </w:r>
      <w:r w:rsidR="00837752" w:rsidRPr="000E4438">
        <w:rPr>
          <w:rFonts w:ascii="Times New Roman" w:hAnsi="Times New Roman" w:cs="Times New Roman"/>
          <w:sz w:val="24"/>
          <w:szCs w:val="24"/>
        </w:rPr>
        <w:t xml:space="preserve"> Gjykatës së Lartë.</w:t>
      </w:r>
    </w:p>
    <w:p w14:paraId="11AFF269" w14:textId="5FEAB82B" w:rsidR="00837752" w:rsidRDefault="00837752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 xml:space="preserve">Në përfundim gjykata vendosi deklarimin fajtor të pandehurit </w:t>
      </w:r>
      <w:proofErr w:type="spellStart"/>
      <w:r w:rsidR="00E65020" w:rsidRPr="000E4438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="00E65020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Pr="000E4438">
        <w:rPr>
          <w:rFonts w:ascii="Times New Roman" w:hAnsi="Times New Roman" w:cs="Times New Roman"/>
          <w:sz w:val="24"/>
          <w:szCs w:val="24"/>
        </w:rPr>
        <w:t xml:space="preserve">për </w:t>
      </w:r>
      <w:r w:rsidR="00A61AF7" w:rsidRPr="000E4438">
        <w:rPr>
          <w:rFonts w:ascii="Times New Roman" w:hAnsi="Times New Roman" w:cs="Times New Roman"/>
          <w:sz w:val="24"/>
          <w:szCs w:val="24"/>
        </w:rPr>
        <w:t>veprën</w:t>
      </w:r>
      <w:r w:rsidRPr="000E4438">
        <w:rPr>
          <w:rFonts w:ascii="Times New Roman" w:hAnsi="Times New Roman" w:cs="Times New Roman"/>
          <w:sz w:val="24"/>
          <w:szCs w:val="24"/>
        </w:rPr>
        <w:t xml:space="preserve"> penale “</w:t>
      </w:r>
      <w:r w:rsidR="00E65020" w:rsidRPr="000E4438">
        <w:rPr>
          <w:rFonts w:ascii="Times New Roman" w:hAnsi="Times New Roman" w:cs="Times New Roman"/>
          <w:i/>
          <w:iCs/>
          <w:sz w:val="24"/>
          <w:szCs w:val="24"/>
        </w:rPr>
        <w:t>Vrasje me dashje</w:t>
      </w:r>
      <w:r w:rsidRPr="000E443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61A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4438">
        <w:rPr>
          <w:rFonts w:ascii="Times New Roman" w:hAnsi="Times New Roman" w:cs="Times New Roman"/>
          <w:sz w:val="24"/>
          <w:szCs w:val="24"/>
        </w:rPr>
        <w:t xml:space="preserve">parashikuar nga </w:t>
      </w:r>
      <w:r w:rsidR="00A61AF7">
        <w:rPr>
          <w:rFonts w:ascii="Times New Roman" w:hAnsi="Times New Roman" w:cs="Times New Roman"/>
          <w:sz w:val="24"/>
          <w:szCs w:val="24"/>
        </w:rPr>
        <w:t>n</w:t>
      </w:r>
      <w:r w:rsidRPr="000E4438">
        <w:rPr>
          <w:rFonts w:ascii="Times New Roman" w:hAnsi="Times New Roman" w:cs="Times New Roman"/>
          <w:sz w:val="24"/>
          <w:szCs w:val="24"/>
        </w:rPr>
        <w:t xml:space="preserve">eni </w:t>
      </w:r>
      <w:r w:rsidR="00E65020" w:rsidRPr="000E4438">
        <w:rPr>
          <w:rFonts w:ascii="Times New Roman" w:hAnsi="Times New Roman" w:cs="Times New Roman"/>
          <w:sz w:val="24"/>
          <w:szCs w:val="24"/>
        </w:rPr>
        <w:t xml:space="preserve">76 i </w:t>
      </w:r>
      <w:proofErr w:type="spellStart"/>
      <w:r w:rsidR="00A61AF7">
        <w:rPr>
          <w:rFonts w:ascii="Times New Roman" w:hAnsi="Times New Roman" w:cs="Times New Roman"/>
          <w:sz w:val="24"/>
          <w:szCs w:val="24"/>
        </w:rPr>
        <w:t>K</w:t>
      </w:r>
      <w:r w:rsidR="00A31FFB" w:rsidRPr="000E443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A61AF7">
        <w:rPr>
          <w:rFonts w:ascii="Times New Roman" w:hAnsi="Times New Roman" w:cs="Times New Roman"/>
          <w:sz w:val="24"/>
          <w:szCs w:val="24"/>
        </w:rPr>
        <w:t>-së</w:t>
      </w:r>
      <w:r w:rsidR="00A31FFB" w:rsidRPr="000E4438">
        <w:rPr>
          <w:rFonts w:ascii="Times New Roman" w:hAnsi="Times New Roman" w:cs="Times New Roman"/>
          <w:sz w:val="24"/>
          <w:szCs w:val="24"/>
        </w:rPr>
        <w:t xml:space="preserve"> </w:t>
      </w:r>
      <w:r w:rsidRPr="000E4438">
        <w:rPr>
          <w:rFonts w:ascii="Times New Roman" w:hAnsi="Times New Roman" w:cs="Times New Roman"/>
          <w:sz w:val="24"/>
          <w:szCs w:val="24"/>
        </w:rPr>
        <w:t xml:space="preserve">dhe </w:t>
      </w:r>
      <w:r w:rsidR="00E65020" w:rsidRPr="000E4438">
        <w:rPr>
          <w:rFonts w:ascii="Times New Roman" w:hAnsi="Times New Roman" w:cs="Times New Roman"/>
          <w:sz w:val="24"/>
          <w:szCs w:val="24"/>
        </w:rPr>
        <w:t xml:space="preserve"> deklarimin fajtor të pandehurit </w:t>
      </w:r>
      <w:proofErr w:type="spellStart"/>
      <w:r w:rsidR="00E65020" w:rsidRPr="000E4438">
        <w:rPr>
          <w:rFonts w:ascii="Times New Roman" w:hAnsi="Times New Roman" w:cs="Times New Roman"/>
          <w:sz w:val="24"/>
          <w:szCs w:val="24"/>
        </w:rPr>
        <w:t>E.H</w:t>
      </w:r>
      <w:proofErr w:type="spellEnd"/>
      <w:r w:rsidR="00E65020" w:rsidRPr="000E4438">
        <w:rPr>
          <w:rFonts w:ascii="Times New Roman" w:hAnsi="Times New Roman" w:cs="Times New Roman"/>
          <w:sz w:val="24"/>
          <w:szCs w:val="24"/>
        </w:rPr>
        <w:t xml:space="preserve"> për </w:t>
      </w:r>
      <w:r w:rsidR="00A61AF7" w:rsidRPr="000E4438">
        <w:rPr>
          <w:rFonts w:ascii="Times New Roman" w:hAnsi="Times New Roman" w:cs="Times New Roman"/>
          <w:sz w:val="24"/>
          <w:szCs w:val="24"/>
        </w:rPr>
        <w:t>veprën</w:t>
      </w:r>
      <w:r w:rsidRPr="000E4438">
        <w:rPr>
          <w:rFonts w:ascii="Times New Roman" w:hAnsi="Times New Roman" w:cs="Times New Roman"/>
          <w:sz w:val="24"/>
          <w:szCs w:val="24"/>
        </w:rPr>
        <w:t xml:space="preserve"> penale “</w:t>
      </w:r>
      <w:r w:rsidR="00E65020" w:rsidRPr="000E4438">
        <w:rPr>
          <w:rFonts w:ascii="Times New Roman" w:hAnsi="Times New Roman" w:cs="Times New Roman"/>
          <w:sz w:val="24"/>
          <w:szCs w:val="24"/>
        </w:rPr>
        <w:t>Moskallëzimi i krimit”</w:t>
      </w:r>
      <w:r w:rsidRPr="000E4438">
        <w:rPr>
          <w:rFonts w:ascii="Times New Roman" w:hAnsi="Times New Roman" w:cs="Times New Roman"/>
          <w:sz w:val="24"/>
          <w:szCs w:val="24"/>
        </w:rPr>
        <w:t xml:space="preserve"> parashikuar nga </w:t>
      </w:r>
      <w:r w:rsidR="00E65020" w:rsidRPr="000E4438">
        <w:rPr>
          <w:rFonts w:ascii="Times New Roman" w:hAnsi="Times New Roman" w:cs="Times New Roman"/>
          <w:sz w:val="24"/>
          <w:szCs w:val="24"/>
        </w:rPr>
        <w:t>neni 300</w:t>
      </w:r>
      <w:r w:rsidR="00A61AF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61AF7">
        <w:rPr>
          <w:rFonts w:ascii="Times New Roman" w:hAnsi="Times New Roman" w:cs="Times New Roman"/>
          <w:sz w:val="24"/>
          <w:szCs w:val="24"/>
        </w:rPr>
        <w:t>K</w:t>
      </w:r>
      <w:r w:rsidRPr="000E443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A61AF7">
        <w:rPr>
          <w:rFonts w:ascii="Times New Roman" w:hAnsi="Times New Roman" w:cs="Times New Roman"/>
          <w:sz w:val="24"/>
          <w:szCs w:val="24"/>
        </w:rPr>
        <w:t>-së</w:t>
      </w:r>
      <w:r w:rsidR="00A31FFB" w:rsidRPr="000E4438">
        <w:rPr>
          <w:rFonts w:ascii="Times New Roman" w:hAnsi="Times New Roman" w:cs="Times New Roman"/>
          <w:sz w:val="24"/>
          <w:szCs w:val="24"/>
        </w:rPr>
        <w:t>.</w:t>
      </w:r>
      <w:r w:rsidR="00A61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82E19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FD652D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F3F00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C099B3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D5326F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FC8DF6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DEF4B4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E6B2B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218ED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320CD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CE371C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24F074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996B1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86C437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24980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6A6CF9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E34C26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ED106B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B9EB5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244451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DCAF7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40432B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D8F81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71B41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D9330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C4549B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EE92AD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7DE4EC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3DEB1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43058C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87CC9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81C50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2F51E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24164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3435E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0C1CCE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B9D265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93213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92E463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06980" w14:textId="77777777" w:rsidR="00A61AF7" w:rsidRDefault="00A61AF7" w:rsidP="008377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C54E8" w14:textId="3DBCB42A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7">
        <w:rPr>
          <w:rFonts w:ascii="Times New Roman" w:hAnsi="Times New Roman" w:cs="Times New Roman"/>
          <w:b/>
          <w:sz w:val="24"/>
          <w:szCs w:val="24"/>
        </w:rPr>
        <w:t>FOTO GJATË ZHVILLIMIT TË GJYQIT</w:t>
      </w:r>
      <w:r>
        <w:rPr>
          <w:rFonts w:ascii="Times New Roman" w:hAnsi="Times New Roman" w:cs="Times New Roman"/>
          <w:b/>
          <w:sz w:val="24"/>
          <w:szCs w:val="24"/>
        </w:rPr>
        <w:t xml:space="preserve"> IMITUES </w:t>
      </w:r>
    </w:p>
    <w:p w14:paraId="2E0BC0F9" w14:textId="10850742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7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58240" behindDoc="0" locked="0" layoutInCell="1" allowOverlap="1" wp14:anchorId="2FD31281" wp14:editId="404182D4">
            <wp:simplePos x="0" y="0"/>
            <wp:positionH relativeFrom="column">
              <wp:posOffset>224155</wp:posOffset>
            </wp:positionH>
            <wp:positionV relativeFrom="paragraph">
              <wp:posOffset>128270</wp:posOffset>
            </wp:positionV>
            <wp:extent cx="5253355" cy="3941445"/>
            <wp:effectExtent l="0" t="0" r="4445" b="1905"/>
            <wp:wrapSquare wrapText="bothSides"/>
            <wp:docPr id="1" name="Picture 1" descr="F:\formimi fillestar 2024 anila\viti i dyte 2024-2025\gjyqet imituese\Gjyqi 3\Grupi IV\WhatsApp Image 2025-02-13 at 1.53.4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3\Grupi IV\WhatsApp Image 2025-02-13 at 1.53.44 PM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27672" w14:textId="21929C5B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DD21C" w14:textId="77777777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964E" w14:textId="77777777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816DD" w14:textId="77777777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1DEBF" w14:textId="77777777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B23A5" w14:textId="77777777" w:rsidR="00A61AF7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BFC9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14156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4E9ED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59B58F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6FD2D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C16A4" w14:textId="77777777" w:rsidR="00446A19" w:rsidRDefault="00A61AF7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F7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0" locked="0" layoutInCell="1" allowOverlap="1" wp14:anchorId="0B0BC23A" wp14:editId="60358595">
            <wp:simplePos x="0" y="0"/>
            <wp:positionH relativeFrom="column">
              <wp:posOffset>223520</wp:posOffset>
            </wp:positionH>
            <wp:positionV relativeFrom="paragraph">
              <wp:posOffset>1713817</wp:posOffset>
            </wp:positionV>
            <wp:extent cx="5382260" cy="4037330"/>
            <wp:effectExtent l="0" t="0" r="8890" b="1270"/>
            <wp:wrapSquare wrapText="bothSides"/>
            <wp:docPr id="2" name="Picture 2" descr="F:\formimi fillestar 2024 anila\viti i dyte 2024-2025\gjyqet imituese\Gjyqi 3\Grupi IV\WhatsApp Image 2025-02-13 at 1.53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3\Grupi IV\WhatsApp Image 2025-02-13 at 1.53.44 PM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19">
        <w:rPr>
          <w:rFonts w:ascii="Times New Roman" w:hAnsi="Times New Roman" w:cs="Times New Roman"/>
          <w:b/>
          <w:sz w:val="24"/>
          <w:szCs w:val="24"/>
        </w:rPr>
        <w:tab/>
      </w:r>
    </w:p>
    <w:p w14:paraId="42B69029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53FE5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12D93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E4422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89D20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0A71F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2993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FDA07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E80D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22CB1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94057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632BB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503C7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ECCF3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9503B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7CBFD" w14:textId="169BE6F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19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inline distT="0" distB="0" distL="0" distR="0" wp14:anchorId="43FF286E" wp14:editId="2917ECF9">
            <wp:extent cx="5943600" cy="4458861"/>
            <wp:effectExtent l="0" t="0" r="0" b="0"/>
            <wp:docPr id="3" name="Picture 3" descr="F:\formimi fillestar 2024 anila\viti i dyte 2024-2025\gjyqet imituese\Gjyqi 3\Grupi IV\WhatsApp Image 2025-02-13 at 1.53.45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jyqi 3\Grupi IV\WhatsApp Image 2025-02-13 at 1.53.45 PM (4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799C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B2133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57EF7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4909C" w14:textId="77777777" w:rsidR="00446A19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35E1D" w14:textId="124D8366" w:rsidR="00A61AF7" w:rsidRPr="00A61AF7" w:rsidRDefault="00446A19" w:rsidP="00A6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61AF7" w:rsidRPr="00A61AF7" w:rsidSect="00837752">
      <w:headerReference w:type="default" r:id="rId12"/>
      <w:pgSz w:w="12240" w:h="15840"/>
      <w:pgMar w:top="0" w:right="1440" w:bottom="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3849B" w14:textId="77777777" w:rsidR="007D7F3E" w:rsidRDefault="007D7F3E" w:rsidP="00F16B39">
      <w:pPr>
        <w:spacing w:after="0" w:line="240" w:lineRule="auto"/>
      </w:pPr>
      <w:r>
        <w:separator/>
      </w:r>
    </w:p>
  </w:endnote>
  <w:endnote w:type="continuationSeparator" w:id="0">
    <w:p w14:paraId="3A6205DC" w14:textId="77777777" w:rsidR="007D7F3E" w:rsidRDefault="007D7F3E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619E4" w14:textId="77777777" w:rsidR="007D7F3E" w:rsidRDefault="007D7F3E" w:rsidP="00F16B39">
      <w:pPr>
        <w:spacing w:after="0" w:line="240" w:lineRule="auto"/>
      </w:pPr>
      <w:r>
        <w:separator/>
      </w:r>
    </w:p>
  </w:footnote>
  <w:footnote w:type="continuationSeparator" w:id="0">
    <w:p w14:paraId="59D367C1" w14:textId="77777777" w:rsidR="007D7F3E" w:rsidRDefault="007D7F3E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14F5D"/>
    <w:rsid w:val="00082E56"/>
    <w:rsid w:val="00086B59"/>
    <w:rsid w:val="000E4438"/>
    <w:rsid w:val="000F0E67"/>
    <w:rsid w:val="00135B15"/>
    <w:rsid w:val="0017480C"/>
    <w:rsid w:val="0021228C"/>
    <w:rsid w:val="0021668A"/>
    <w:rsid w:val="002363DB"/>
    <w:rsid w:val="00244B64"/>
    <w:rsid w:val="002547FE"/>
    <w:rsid w:val="002D7128"/>
    <w:rsid w:val="003344D5"/>
    <w:rsid w:val="00354229"/>
    <w:rsid w:val="00391B48"/>
    <w:rsid w:val="00395D54"/>
    <w:rsid w:val="003C7F1B"/>
    <w:rsid w:val="00422526"/>
    <w:rsid w:val="00446A19"/>
    <w:rsid w:val="004C1510"/>
    <w:rsid w:val="005907EB"/>
    <w:rsid w:val="005A4B27"/>
    <w:rsid w:val="0060378E"/>
    <w:rsid w:val="00611982"/>
    <w:rsid w:val="00612050"/>
    <w:rsid w:val="0063432E"/>
    <w:rsid w:val="00683EEE"/>
    <w:rsid w:val="0068639C"/>
    <w:rsid w:val="006E1538"/>
    <w:rsid w:val="00720117"/>
    <w:rsid w:val="00752FDD"/>
    <w:rsid w:val="00773611"/>
    <w:rsid w:val="007818ED"/>
    <w:rsid w:val="0079318F"/>
    <w:rsid w:val="007B4331"/>
    <w:rsid w:val="007D7F3E"/>
    <w:rsid w:val="007E7937"/>
    <w:rsid w:val="00837752"/>
    <w:rsid w:val="00851FDE"/>
    <w:rsid w:val="008A245F"/>
    <w:rsid w:val="009117DA"/>
    <w:rsid w:val="00952C2D"/>
    <w:rsid w:val="009A2C05"/>
    <w:rsid w:val="00A31FFB"/>
    <w:rsid w:val="00A61AF7"/>
    <w:rsid w:val="00A87D65"/>
    <w:rsid w:val="00A923E7"/>
    <w:rsid w:val="00AB6E4C"/>
    <w:rsid w:val="00BF4E1E"/>
    <w:rsid w:val="00C0496E"/>
    <w:rsid w:val="00C32E45"/>
    <w:rsid w:val="00C340D4"/>
    <w:rsid w:val="00C50F6D"/>
    <w:rsid w:val="00C7351C"/>
    <w:rsid w:val="00C845B8"/>
    <w:rsid w:val="00CA6D12"/>
    <w:rsid w:val="00CC3BCB"/>
    <w:rsid w:val="00D00CE7"/>
    <w:rsid w:val="00D239A9"/>
    <w:rsid w:val="00D7661E"/>
    <w:rsid w:val="00D77E8C"/>
    <w:rsid w:val="00DC692F"/>
    <w:rsid w:val="00DD5432"/>
    <w:rsid w:val="00DE4339"/>
    <w:rsid w:val="00E65020"/>
    <w:rsid w:val="00E71820"/>
    <w:rsid w:val="00E937FA"/>
    <w:rsid w:val="00EA0F81"/>
    <w:rsid w:val="00EA419D"/>
    <w:rsid w:val="00EC1CD8"/>
    <w:rsid w:val="00EE470B"/>
    <w:rsid w:val="00F009C6"/>
    <w:rsid w:val="00F16B3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E319-0702-4D78-BEFD-80E70FD1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5</cp:revision>
  <dcterms:created xsi:type="dcterms:W3CDTF">2025-02-13T16:07:00Z</dcterms:created>
  <dcterms:modified xsi:type="dcterms:W3CDTF">2025-02-21T09:33:00Z</dcterms:modified>
</cp:coreProperties>
</file>