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5B" w:rsidRPr="00776B95" w:rsidRDefault="00990D5B" w:rsidP="00990D5B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76B95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5762625" cy="776605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D5B" w:rsidRPr="00776B95" w:rsidRDefault="00990D5B" w:rsidP="00990D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90D5B" w:rsidRPr="00776B95" w:rsidRDefault="00990D5B" w:rsidP="00990D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90D5B" w:rsidRPr="00776B95" w:rsidRDefault="00990D5B" w:rsidP="00990D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961D4" w:rsidRPr="00776B95" w:rsidRDefault="00D961D4" w:rsidP="00990D5B">
      <w:pPr>
        <w:spacing w:after="0" w:line="240" w:lineRule="auto"/>
        <w:ind w:left="2160"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961D4" w:rsidRPr="00776B95" w:rsidRDefault="00D961D4" w:rsidP="00D961D4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776B95">
        <w:rPr>
          <w:rFonts w:ascii="Times New Roman" w:hAnsi="Times New Roman"/>
          <w:b/>
          <w:sz w:val="27"/>
          <w:szCs w:val="27"/>
          <w:lang w:val="en-US"/>
        </w:rPr>
        <w:t>REPUBLIC OF ALBANIA</w:t>
      </w:r>
    </w:p>
    <w:p w:rsidR="00D961D4" w:rsidRPr="00776B95" w:rsidRDefault="00D961D4" w:rsidP="00D961D4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776B95">
        <w:rPr>
          <w:rFonts w:ascii="Times New Roman" w:hAnsi="Times New Roman"/>
          <w:b/>
          <w:sz w:val="27"/>
          <w:szCs w:val="27"/>
          <w:lang w:val="en-US"/>
        </w:rPr>
        <w:t>THE SCHOOL OF MAGISTRATES</w:t>
      </w:r>
    </w:p>
    <w:p w:rsidR="00D961D4" w:rsidRPr="00776B95" w:rsidRDefault="00D961D4" w:rsidP="00D961D4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776B95">
        <w:rPr>
          <w:rFonts w:ascii="Times New Roman" w:hAnsi="Times New Roman"/>
          <w:b/>
          <w:sz w:val="27"/>
          <w:szCs w:val="27"/>
          <w:lang w:val="en-US"/>
        </w:rPr>
        <w:t>STEERING COUNCIL</w:t>
      </w:r>
    </w:p>
    <w:p w:rsidR="00990D5B" w:rsidRPr="00776B95" w:rsidRDefault="00990D5B" w:rsidP="00990D5B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961D4" w:rsidRPr="00776B95" w:rsidRDefault="00D961D4" w:rsidP="00990D5B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961D4" w:rsidRPr="00776B95" w:rsidRDefault="00D961D4" w:rsidP="00990D5B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90D5B" w:rsidRPr="00776B95" w:rsidRDefault="00C10953" w:rsidP="004D178B">
      <w:pPr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776B95">
        <w:rPr>
          <w:rFonts w:ascii="Times New Roman" w:hAnsi="Times New Roman"/>
          <w:b/>
          <w:sz w:val="27"/>
          <w:szCs w:val="27"/>
          <w:lang w:val="en-US"/>
        </w:rPr>
        <w:t>No</w:t>
      </w:r>
      <w:r w:rsidR="00990D5B" w:rsidRPr="00776B95">
        <w:rPr>
          <w:rFonts w:ascii="Times New Roman" w:hAnsi="Times New Roman"/>
          <w:b/>
          <w:sz w:val="27"/>
          <w:szCs w:val="27"/>
          <w:lang w:val="en-US"/>
        </w:rPr>
        <w:t xml:space="preserve">.23/5 </w:t>
      </w:r>
      <w:r w:rsidR="005F600D" w:rsidRPr="00776B95">
        <w:rPr>
          <w:rFonts w:ascii="Times New Roman" w:hAnsi="Times New Roman"/>
          <w:b/>
          <w:sz w:val="27"/>
          <w:szCs w:val="27"/>
          <w:lang w:val="en-US"/>
        </w:rPr>
        <w:t>Prot</w:t>
      </w:r>
      <w:r w:rsidR="00990D5B" w:rsidRPr="00776B95">
        <w:rPr>
          <w:rFonts w:ascii="Times New Roman" w:hAnsi="Times New Roman"/>
          <w:b/>
          <w:sz w:val="27"/>
          <w:szCs w:val="27"/>
          <w:lang w:val="en-US"/>
        </w:rPr>
        <w:t>.</w:t>
      </w:r>
      <w:r w:rsidR="00990D5B" w:rsidRPr="00776B95">
        <w:rPr>
          <w:rFonts w:ascii="Times New Roman" w:hAnsi="Times New Roman"/>
          <w:b/>
          <w:sz w:val="27"/>
          <w:szCs w:val="27"/>
          <w:lang w:val="en-US"/>
        </w:rPr>
        <w:tab/>
      </w:r>
      <w:r w:rsidR="00990D5B" w:rsidRPr="00776B95">
        <w:rPr>
          <w:rFonts w:ascii="Times New Roman" w:hAnsi="Times New Roman"/>
          <w:b/>
          <w:sz w:val="27"/>
          <w:szCs w:val="27"/>
          <w:lang w:val="en-US"/>
        </w:rPr>
        <w:tab/>
      </w:r>
      <w:r w:rsidR="00990D5B" w:rsidRPr="00776B95">
        <w:rPr>
          <w:rFonts w:ascii="Times New Roman" w:hAnsi="Times New Roman"/>
          <w:b/>
          <w:sz w:val="27"/>
          <w:szCs w:val="27"/>
          <w:lang w:val="en-US"/>
        </w:rPr>
        <w:tab/>
      </w:r>
      <w:r w:rsidR="00990D5B" w:rsidRPr="00776B95">
        <w:rPr>
          <w:rFonts w:ascii="Times New Roman" w:hAnsi="Times New Roman"/>
          <w:b/>
          <w:sz w:val="27"/>
          <w:szCs w:val="27"/>
          <w:lang w:val="en-US"/>
        </w:rPr>
        <w:tab/>
      </w:r>
      <w:r w:rsidR="00990D5B" w:rsidRPr="00776B95">
        <w:rPr>
          <w:rFonts w:ascii="Times New Roman" w:hAnsi="Times New Roman"/>
          <w:b/>
          <w:sz w:val="27"/>
          <w:szCs w:val="27"/>
          <w:lang w:val="en-US"/>
        </w:rPr>
        <w:tab/>
      </w:r>
      <w:r w:rsidR="00990D5B" w:rsidRPr="00776B95">
        <w:rPr>
          <w:rFonts w:ascii="Times New Roman" w:hAnsi="Times New Roman"/>
          <w:b/>
          <w:sz w:val="27"/>
          <w:szCs w:val="27"/>
          <w:lang w:val="en-US"/>
        </w:rPr>
        <w:tab/>
      </w:r>
      <w:r w:rsidR="00990D5B" w:rsidRPr="00776B95">
        <w:rPr>
          <w:rFonts w:ascii="Times New Roman" w:hAnsi="Times New Roman"/>
          <w:b/>
          <w:sz w:val="27"/>
          <w:szCs w:val="27"/>
          <w:lang w:val="en-US"/>
        </w:rPr>
        <w:tab/>
      </w:r>
      <w:r w:rsidR="005F600D" w:rsidRPr="00776B95">
        <w:rPr>
          <w:rFonts w:ascii="Times New Roman" w:hAnsi="Times New Roman"/>
          <w:b/>
          <w:sz w:val="27"/>
          <w:szCs w:val="27"/>
          <w:lang w:val="en-US"/>
        </w:rPr>
        <w:t>Tiranë, on 26.01.2023</w:t>
      </w:r>
    </w:p>
    <w:p w:rsidR="004D178B" w:rsidRPr="00776B95" w:rsidRDefault="004D178B" w:rsidP="00990D5B">
      <w:pPr>
        <w:spacing w:after="0"/>
        <w:jc w:val="center"/>
        <w:rPr>
          <w:rFonts w:ascii="Times New Roman" w:hAnsi="Times New Roman"/>
          <w:b/>
          <w:sz w:val="27"/>
          <w:szCs w:val="27"/>
          <w:lang w:val="en-US"/>
        </w:rPr>
      </w:pPr>
    </w:p>
    <w:p w:rsidR="004D178B" w:rsidRPr="00776B95" w:rsidRDefault="004D178B" w:rsidP="00990D5B">
      <w:pPr>
        <w:spacing w:after="0"/>
        <w:jc w:val="center"/>
        <w:rPr>
          <w:rFonts w:ascii="Times New Roman" w:hAnsi="Times New Roman"/>
          <w:b/>
          <w:sz w:val="27"/>
          <w:szCs w:val="27"/>
          <w:lang w:val="en-US"/>
        </w:rPr>
      </w:pPr>
    </w:p>
    <w:p w:rsidR="00905F0E" w:rsidRPr="00776B95" w:rsidRDefault="00905F0E" w:rsidP="00905F0E">
      <w:pPr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776B95">
        <w:rPr>
          <w:rFonts w:ascii="Times New Roman" w:hAnsi="Times New Roman"/>
          <w:b/>
          <w:sz w:val="27"/>
          <w:szCs w:val="27"/>
          <w:lang w:val="en-US"/>
        </w:rPr>
        <w:t xml:space="preserve">DECISION </w:t>
      </w:r>
    </w:p>
    <w:p w:rsidR="00990D5B" w:rsidRPr="00776B95" w:rsidRDefault="00724C11" w:rsidP="00990D5B">
      <w:pPr>
        <w:spacing w:after="0"/>
        <w:ind w:left="2880" w:firstLine="720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776B95">
        <w:rPr>
          <w:rFonts w:ascii="Times New Roman" w:hAnsi="Times New Roman"/>
          <w:b/>
          <w:sz w:val="27"/>
          <w:szCs w:val="27"/>
          <w:lang w:val="en-US"/>
        </w:rPr>
        <w:t>No</w:t>
      </w:r>
      <w:r w:rsidR="00990D5B" w:rsidRPr="00776B95">
        <w:rPr>
          <w:rFonts w:ascii="Times New Roman" w:hAnsi="Times New Roman"/>
          <w:b/>
          <w:sz w:val="27"/>
          <w:szCs w:val="27"/>
          <w:lang w:val="en-US"/>
        </w:rPr>
        <w:t>. 5</w:t>
      </w:r>
      <w:r w:rsidRPr="00776B95">
        <w:rPr>
          <w:rFonts w:ascii="Times New Roman" w:hAnsi="Times New Roman"/>
          <w:b/>
          <w:sz w:val="27"/>
          <w:szCs w:val="27"/>
          <w:lang w:val="en-US"/>
        </w:rPr>
        <w:t>, date</w:t>
      </w:r>
      <w:r w:rsidR="00990D5B" w:rsidRPr="00776B95">
        <w:rPr>
          <w:rFonts w:ascii="Times New Roman" w:hAnsi="Times New Roman"/>
          <w:b/>
          <w:sz w:val="27"/>
          <w:szCs w:val="27"/>
          <w:lang w:val="en-US"/>
        </w:rPr>
        <w:t xml:space="preserve"> 26.01.2023</w:t>
      </w:r>
    </w:p>
    <w:p w:rsidR="00990D5B" w:rsidRPr="00776B95" w:rsidRDefault="00990D5B" w:rsidP="00990D5B">
      <w:pPr>
        <w:spacing w:after="0"/>
        <w:jc w:val="center"/>
        <w:rPr>
          <w:rFonts w:ascii="Times New Roman" w:hAnsi="Times New Roman"/>
          <w:sz w:val="27"/>
          <w:szCs w:val="27"/>
          <w:lang w:val="en-US"/>
        </w:rPr>
      </w:pPr>
    </w:p>
    <w:p w:rsidR="008F45EC" w:rsidRPr="00776B95" w:rsidRDefault="008F45EC" w:rsidP="00990D5B">
      <w:pPr>
        <w:spacing w:after="0"/>
        <w:jc w:val="center"/>
        <w:rPr>
          <w:rFonts w:ascii="Times New Roman" w:hAnsi="Times New Roman"/>
          <w:b/>
          <w:sz w:val="27"/>
          <w:szCs w:val="27"/>
          <w:lang w:val="en-US"/>
        </w:rPr>
      </w:pPr>
    </w:p>
    <w:p w:rsidR="00990D5B" w:rsidRPr="00776B95" w:rsidRDefault="00FF6985" w:rsidP="00FF6985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776B95">
        <w:rPr>
          <w:rFonts w:ascii="Times New Roman" w:hAnsi="Times New Roman"/>
          <w:b/>
          <w:sz w:val="27"/>
          <w:szCs w:val="27"/>
        </w:rPr>
        <w:t xml:space="preserve">ON SOME ADDITIONS AND CHANGES IN DECISION NO.25, DATE 23.10.2017, </w:t>
      </w:r>
      <w:r w:rsidRPr="00776B95">
        <w:rPr>
          <w:rFonts w:ascii="Times New Roman" w:hAnsi="Times New Roman"/>
          <w:b/>
          <w:sz w:val="27"/>
          <w:szCs w:val="27"/>
          <w:shd w:val="clear" w:color="auto" w:fill="FFFFFF"/>
        </w:rPr>
        <w:t>ON THE REMUNERATION AND REGULATION OF THE ACADEMIC ACTIVITY, IN THE APPLICATION OF THE PROGRAM OF INITIAL AND CONTINUOUS FORMATION IN THE SCHOOL OF MAGISTRATES</w:t>
      </w:r>
    </w:p>
    <w:p w:rsidR="008F45EC" w:rsidRPr="00776B95" w:rsidRDefault="008F45EC" w:rsidP="00990D5B">
      <w:pPr>
        <w:jc w:val="both"/>
        <w:outlineLvl w:val="0"/>
        <w:rPr>
          <w:rFonts w:ascii="Times New Roman" w:hAnsi="Times New Roman"/>
          <w:sz w:val="27"/>
          <w:szCs w:val="27"/>
          <w:lang w:val="en-US"/>
        </w:rPr>
      </w:pPr>
    </w:p>
    <w:p w:rsidR="0038770C" w:rsidRPr="00776B95" w:rsidRDefault="0038770C" w:rsidP="00990D5B">
      <w:pPr>
        <w:jc w:val="both"/>
        <w:outlineLvl w:val="0"/>
        <w:rPr>
          <w:rFonts w:ascii="Times New Roman" w:hAnsi="Times New Roman"/>
          <w:sz w:val="27"/>
          <w:szCs w:val="27"/>
          <w:lang w:val="en-US"/>
        </w:rPr>
      </w:pPr>
    </w:p>
    <w:p w:rsidR="00990D5B" w:rsidRPr="00776B95" w:rsidRDefault="00E77886" w:rsidP="00990D5B">
      <w:pPr>
        <w:jc w:val="both"/>
        <w:outlineLvl w:val="0"/>
        <w:rPr>
          <w:rFonts w:ascii="Times New Roman" w:hAnsi="Times New Roman"/>
          <w:sz w:val="27"/>
          <w:szCs w:val="27"/>
          <w:lang w:val="en-US"/>
        </w:rPr>
      </w:pPr>
      <w:r w:rsidRPr="00776B95">
        <w:rPr>
          <w:rFonts w:ascii="Times New Roman" w:hAnsi="Times New Roman"/>
          <w:sz w:val="27"/>
          <w:szCs w:val="27"/>
          <w:lang w:val="en-US"/>
        </w:rPr>
        <w:t>Based on Article</w:t>
      </w:r>
      <w:r w:rsidR="00990D5B" w:rsidRPr="00776B95">
        <w:rPr>
          <w:rFonts w:ascii="Times New Roman" w:hAnsi="Times New Roman"/>
          <w:sz w:val="27"/>
          <w:szCs w:val="27"/>
          <w:lang w:val="en-US"/>
        </w:rPr>
        <w:t xml:space="preserve"> 118 </w:t>
      </w:r>
      <w:r w:rsidRPr="00776B95">
        <w:rPr>
          <w:rFonts w:ascii="Times New Roman" w:hAnsi="Times New Roman"/>
          <w:sz w:val="27"/>
          <w:szCs w:val="27"/>
          <w:lang w:val="en-US"/>
        </w:rPr>
        <w:t xml:space="preserve">of the Constitution of the Republic of Albania, on Articles </w:t>
      </w:r>
      <w:r w:rsidR="00990D5B" w:rsidRPr="00776B95">
        <w:rPr>
          <w:rFonts w:ascii="Times New Roman" w:hAnsi="Times New Roman"/>
          <w:sz w:val="27"/>
          <w:szCs w:val="27"/>
          <w:lang w:val="en-US"/>
        </w:rPr>
        <w:t xml:space="preserve"> 243 </w:t>
      </w:r>
      <w:r w:rsidRPr="00776B95">
        <w:rPr>
          <w:rFonts w:ascii="Times New Roman" w:hAnsi="Times New Roman"/>
          <w:sz w:val="27"/>
          <w:szCs w:val="27"/>
          <w:lang w:val="en-US"/>
        </w:rPr>
        <w:t>and</w:t>
      </w:r>
      <w:r w:rsidR="00990D5B" w:rsidRPr="00776B95">
        <w:rPr>
          <w:rFonts w:ascii="Times New Roman" w:hAnsi="Times New Roman"/>
          <w:sz w:val="27"/>
          <w:szCs w:val="27"/>
          <w:lang w:val="en-US"/>
        </w:rPr>
        <w:t xml:space="preserve"> 248 </w:t>
      </w:r>
      <w:r w:rsidRPr="00776B95">
        <w:rPr>
          <w:rFonts w:ascii="Times New Roman" w:hAnsi="Times New Roman"/>
          <w:sz w:val="27"/>
          <w:szCs w:val="27"/>
          <w:lang w:val="en-US"/>
        </w:rPr>
        <w:t xml:space="preserve">of law no. 115/2016, </w:t>
      </w:r>
      <w:r w:rsidRPr="00776B95">
        <w:rPr>
          <w:rFonts w:ascii="Times New Roman" w:hAnsi="Times New Roman"/>
          <w:i/>
          <w:sz w:val="27"/>
          <w:szCs w:val="27"/>
          <w:lang w:val="en-US"/>
        </w:rPr>
        <w:t>on the organs of the management of the system of justice,</w:t>
      </w:r>
      <w:r w:rsidR="00990D5B" w:rsidRPr="00776B95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3B0AB2" w:rsidRPr="00776B95">
        <w:rPr>
          <w:rFonts w:ascii="Times New Roman" w:hAnsi="Times New Roman"/>
          <w:sz w:val="27"/>
          <w:szCs w:val="27"/>
          <w:lang w:val="en-US"/>
        </w:rPr>
        <w:t>l</w:t>
      </w:r>
      <w:r w:rsidR="006A7906" w:rsidRPr="00776B95">
        <w:rPr>
          <w:rFonts w:ascii="Times New Roman" w:hAnsi="Times New Roman"/>
          <w:sz w:val="27"/>
          <w:szCs w:val="27"/>
          <w:lang w:val="en-US"/>
        </w:rPr>
        <w:t xml:space="preserve">aw  no. 96/2016, </w:t>
      </w:r>
      <w:r w:rsidR="006A7906" w:rsidRPr="00776B95">
        <w:rPr>
          <w:rFonts w:ascii="Times New Roman" w:hAnsi="Times New Roman"/>
          <w:i/>
          <w:sz w:val="27"/>
          <w:szCs w:val="27"/>
          <w:lang w:val="en-US"/>
        </w:rPr>
        <w:t>on the status of judges and prosecutor in the Republic of Albania</w:t>
      </w:r>
      <w:r w:rsidR="00737E2C" w:rsidRPr="00776B95">
        <w:rPr>
          <w:rFonts w:ascii="Times New Roman" w:hAnsi="Times New Roman"/>
          <w:i/>
          <w:sz w:val="27"/>
          <w:szCs w:val="27"/>
          <w:lang w:val="en-US"/>
        </w:rPr>
        <w:t xml:space="preserve">, </w:t>
      </w:r>
      <w:r w:rsidR="006A7906" w:rsidRPr="00776B95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3B0AB2" w:rsidRPr="00776B95">
        <w:rPr>
          <w:rFonts w:ascii="Times New Roman" w:hAnsi="Times New Roman"/>
          <w:sz w:val="27"/>
          <w:szCs w:val="27"/>
          <w:lang w:val="en-US"/>
        </w:rPr>
        <w:t>l</w:t>
      </w:r>
      <w:r w:rsidR="00737E2C" w:rsidRPr="00776B95">
        <w:rPr>
          <w:rFonts w:ascii="Times New Roman" w:hAnsi="Times New Roman"/>
          <w:sz w:val="27"/>
          <w:szCs w:val="27"/>
          <w:lang w:val="en-US"/>
        </w:rPr>
        <w:t xml:space="preserve">aw  no. 98/2016, </w:t>
      </w:r>
      <w:r w:rsidR="00737E2C" w:rsidRPr="00776B95">
        <w:rPr>
          <w:rFonts w:ascii="Times New Roman" w:hAnsi="Times New Roman"/>
          <w:i/>
          <w:sz w:val="27"/>
          <w:szCs w:val="27"/>
          <w:lang w:val="en-US"/>
        </w:rPr>
        <w:t xml:space="preserve">on the organization of the judicial power in the Republic of Albania, </w:t>
      </w:r>
      <w:r w:rsidR="00737E2C" w:rsidRPr="00776B95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3B0AB2" w:rsidRPr="00776B95">
        <w:rPr>
          <w:rFonts w:ascii="Times New Roman" w:hAnsi="Times New Roman"/>
          <w:sz w:val="27"/>
          <w:szCs w:val="27"/>
          <w:lang w:val="en-US"/>
        </w:rPr>
        <w:t xml:space="preserve">law no. 84/2016, </w:t>
      </w:r>
      <w:r w:rsidR="003B0AB2" w:rsidRPr="00776B95">
        <w:rPr>
          <w:rFonts w:ascii="Times New Roman" w:hAnsi="Times New Roman"/>
          <w:i/>
          <w:sz w:val="27"/>
          <w:szCs w:val="27"/>
          <w:lang w:val="en-US"/>
        </w:rPr>
        <w:t xml:space="preserve">on the transitory re-evaluation of judges and prosecutors in the Republic of Albania, </w:t>
      </w:r>
      <w:r w:rsidR="003B0AB2" w:rsidRPr="00776B95">
        <w:rPr>
          <w:rFonts w:ascii="Times New Roman" w:hAnsi="Times New Roman"/>
          <w:sz w:val="27"/>
          <w:szCs w:val="27"/>
          <w:lang w:val="en-US"/>
        </w:rPr>
        <w:t xml:space="preserve">on Article </w:t>
      </w:r>
      <w:r w:rsidR="00990D5B" w:rsidRPr="00776B95">
        <w:rPr>
          <w:rFonts w:ascii="Times New Roman" w:hAnsi="Times New Roman"/>
          <w:sz w:val="27"/>
          <w:szCs w:val="27"/>
          <w:lang w:val="en-US"/>
        </w:rPr>
        <w:t xml:space="preserve">124 </w:t>
      </w:r>
      <w:r w:rsidR="00520E6F" w:rsidRPr="00776B95">
        <w:rPr>
          <w:rFonts w:ascii="Times New Roman" w:hAnsi="Times New Roman"/>
          <w:sz w:val="27"/>
          <w:szCs w:val="27"/>
          <w:lang w:val="en-US"/>
        </w:rPr>
        <w:t xml:space="preserve">of law no. </w:t>
      </w:r>
      <w:r w:rsidR="00990D5B" w:rsidRPr="00776B95">
        <w:rPr>
          <w:rFonts w:ascii="Times New Roman" w:hAnsi="Times New Roman"/>
          <w:sz w:val="27"/>
          <w:szCs w:val="27"/>
          <w:lang w:val="en-US"/>
        </w:rPr>
        <w:t xml:space="preserve">80/2015, </w:t>
      </w:r>
      <w:r w:rsidR="00520E6F" w:rsidRPr="00776B95">
        <w:rPr>
          <w:rFonts w:ascii="Times New Roman" w:hAnsi="Times New Roman"/>
          <w:i/>
          <w:sz w:val="27"/>
          <w:szCs w:val="27"/>
          <w:lang w:val="en-US"/>
        </w:rPr>
        <w:t>on the high education in the Republic of Albania</w:t>
      </w:r>
      <w:r w:rsidR="00520E6F" w:rsidRPr="00776B95">
        <w:rPr>
          <w:rFonts w:ascii="Times New Roman" w:hAnsi="Times New Roman"/>
          <w:sz w:val="27"/>
          <w:szCs w:val="27"/>
          <w:lang w:val="en-US"/>
        </w:rPr>
        <w:t xml:space="preserve">, (amended), </w:t>
      </w:r>
      <w:r w:rsidR="00990D5B" w:rsidRPr="00776B95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6D1246" w:rsidRPr="00776B95">
        <w:rPr>
          <w:rFonts w:ascii="Times New Roman" w:hAnsi="Times New Roman"/>
          <w:sz w:val="27"/>
          <w:szCs w:val="27"/>
          <w:lang w:val="en-US"/>
        </w:rPr>
        <w:t>as well as of law no.</w:t>
      </w:r>
      <w:r w:rsidR="006D1246" w:rsidRPr="00776B95">
        <w:rPr>
          <w:rFonts w:ascii="Times New Roman" w:hAnsi="Times New Roman"/>
          <w:sz w:val="27"/>
          <w:szCs w:val="27"/>
          <w:lang w:val="en-US" w:eastAsia="sq-AL"/>
        </w:rPr>
        <w:t xml:space="preserve"> </w:t>
      </w:r>
      <w:r w:rsidR="00990D5B" w:rsidRPr="00776B95">
        <w:rPr>
          <w:rFonts w:ascii="Times New Roman" w:hAnsi="Times New Roman"/>
          <w:sz w:val="27"/>
          <w:szCs w:val="27"/>
          <w:lang w:val="en-US" w:eastAsia="sq-AL"/>
        </w:rPr>
        <w:t>84/2022</w:t>
      </w:r>
      <w:r w:rsidR="006D1246" w:rsidRPr="00776B95">
        <w:rPr>
          <w:rFonts w:ascii="Times New Roman" w:hAnsi="Times New Roman"/>
          <w:sz w:val="27"/>
          <w:szCs w:val="27"/>
          <w:lang w:val="en-US" w:eastAsia="sq-AL"/>
        </w:rPr>
        <w:t xml:space="preserve">,  </w:t>
      </w:r>
      <w:r w:rsidR="006D1246" w:rsidRPr="00776B95">
        <w:rPr>
          <w:rFonts w:ascii="Times New Roman" w:hAnsi="Times New Roman"/>
          <w:i/>
          <w:sz w:val="27"/>
          <w:szCs w:val="27"/>
          <w:lang w:val="en-US" w:eastAsia="sq-AL"/>
        </w:rPr>
        <w:t xml:space="preserve">on the budget of the year </w:t>
      </w:r>
      <w:r w:rsidR="00990D5B" w:rsidRPr="00776B95">
        <w:rPr>
          <w:rFonts w:ascii="Times New Roman" w:hAnsi="Times New Roman"/>
          <w:sz w:val="27"/>
          <w:szCs w:val="27"/>
          <w:lang w:val="en-US" w:eastAsia="sq-AL"/>
        </w:rPr>
        <w:t xml:space="preserve"> 2023</w:t>
      </w:r>
      <w:r w:rsidR="006D1246" w:rsidRPr="00776B95">
        <w:rPr>
          <w:rFonts w:ascii="Times New Roman" w:hAnsi="Times New Roman"/>
          <w:sz w:val="27"/>
          <w:szCs w:val="27"/>
          <w:lang w:val="en-US" w:eastAsia="sq-AL"/>
        </w:rPr>
        <w:t xml:space="preserve">, </w:t>
      </w:r>
      <w:r w:rsidR="000D4431" w:rsidRPr="00776B95">
        <w:rPr>
          <w:rFonts w:ascii="Times New Roman" w:hAnsi="Times New Roman"/>
          <w:sz w:val="27"/>
          <w:szCs w:val="27"/>
          <w:lang w:val="en-US" w:eastAsia="sq-AL"/>
        </w:rPr>
        <w:t xml:space="preserve">on the decision of the Council of Ministers no. </w:t>
      </w:r>
      <w:r w:rsidR="000D4431" w:rsidRPr="00776B95">
        <w:rPr>
          <w:rFonts w:ascii="Times New Roman" w:hAnsi="Times New Roman"/>
          <w:sz w:val="27"/>
          <w:szCs w:val="27"/>
          <w:lang w:val="en-US"/>
        </w:rPr>
        <w:t xml:space="preserve"> 748, date</w:t>
      </w:r>
      <w:r w:rsidR="00990D5B" w:rsidRPr="00776B95">
        <w:rPr>
          <w:rFonts w:ascii="Times New Roman" w:hAnsi="Times New Roman"/>
          <w:sz w:val="27"/>
          <w:szCs w:val="27"/>
          <w:lang w:val="en-US"/>
        </w:rPr>
        <w:t xml:space="preserve"> 11.6.2009, </w:t>
      </w:r>
      <w:r w:rsidR="00CD1500" w:rsidRPr="00776B95">
        <w:rPr>
          <w:rFonts w:ascii="Times New Roman" w:hAnsi="Times New Roman"/>
          <w:i/>
          <w:sz w:val="27"/>
          <w:szCs w:val="27"/>
          <w:lang w:val="en-US"/>
        </w:rPr>
        <w:t xml:space="preserve">on the treatment with salary and salary allowances of the academic personnel of public institutions of high education, </w:t>
      </w:r>
      <w:r w:rsidR="000D4431" w:rsidRPr="00776B95">
        <w:rPr>
          <w:rFonts w:ascii="Times New Roman" w:hAnsi="Times New Roman"/>
          <w:sz w:val="27"/>
          <w:szCs w:val="27"/>
          <w:lang w:val="en-US"/>
        </w:rPr>
        <w:t>(amended)</w:t>
      </w:r>
      <w:r w:rsidR="003653E0" w:rsidRPr="00776B95">
        <w:rPr>
          <w:rFonts w:ascii="Times New Roman" w:hAnsi="Times New Roman"/>
          <w:sz w:val="27"/>
          <w:szCs w:val="27"/>
          <w:lang w:val="en-US"/>
        </w:rPr>
        <w:t>, with the proposal of the Director of the School of Magistrates, the Steering Council of the School of Magistrates, gathered on</w:t>
      </w:r>
      <w:r w:rsidR="003653E0" w:rsidRPr="00776B95">
        <w:rPr>
          <w:rFonts w:ascii="Times New Roman" w:hAnsi="Times New Roman"/>
          <w:sz w:val="27"/>
          <w:szCs w:val="27"/>
        </w:rPr>
        <w:t xml:space="preserve"> </w:t>
      </w:r>
      <w:r w:rsidR="00990D5B" w:rsidRPr="00776B95">
        <w:rPr>
          <w:rFonts w:ascii="Times New Roman" w:hAnsi="Times New Roman"/>
          <w:sz w:val="27"/>
          <w:szCs w:val="27"/>
          <w:lang w:val="en-US"/>
        </w:rPr>
        <w:t>26.1.2023</w:t>
      </w:r>
      <w:r w:rsidR="003653E0" w:rsidRPr="00776B95">
        <w:rPr>
          <w:rFonts w:ascii="Times New Roman" w:hAnsi="Times New Roman"/>
          <w:sz w:val="27"/>
          <w:szCs w:val="27"/>
          <w:lang w:val="en-US"/>
        </w:rPr>
        <w:t>, decided:</w:t>
      </w:r>
    </w:p>
    <w:p w:rsidR="00990D5B" w:rsidRPr="00776B95" w:rsidRDefault="00C02097" w:rsidP="003653E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7"/>
          <w:szCs w:val="27"/>
          <w:lang w:val="en-US" w:eastAsia="en-GB"/>
        </w:rPr>
      </w:pPr>
      <w:r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In point</w:t>
      </w:r>
      <w:r w:rsidR="00990D5B"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4/a) , </w:t>
      </w:r>
      <w:r w:rsidRPr="00776B95">
        <w:rPr>
          <w:rFonts w:ascii="Times New Roman" w:eastAsia="Times New Roman" w:hAnsi="Times New Roman"/>
          <w:bCs/>
          <w:sz w:val="27"/>
          <w:szCs w:val="27"/>
          <w:lang w:val="en-US"/>
        </w:rPr>
        <w:t>to be added the sentence,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 “</w:t>
      </w:r>
      <w:r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Mentorship of para-professional practice,”</w:t>
      </w:r>
      <w:r w:rsidR="00B113DA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 as well as after the phrase 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 “ </w:t>
      </w:r>
      <w:r w:rsidR="00B113DA" w:rsidRPr="00776B95">
        <w:rPr>
          <w:rFonts w:ascii="Times New Roman" w:eastAsia="Times New Roman" w:hAnsi="Times New Roman"/>
          <w:sz w:val="27"/>
          <w:szCs w:val="27"/>
          <w:lang w:val="en-US"/>
        </w:rPr>
        <w:t>to be prepared the reports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” </w:t>
      </w:r>
      <w:r w:rsidR="00597694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is added the word 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 “</w:t>
      </w:r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memo</w:t>
      </w:r>
      <w:r w:rsidR="00871D5F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s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>”</w:t>
      </w:r>
      <w:r w:rsidR="00871D5F" w:rsidRPr="00776B95">
        <w:rPr>
          <w:rFonts w:ascii="Times New Roman" w:eastAsia="Times New Roman" w:hAnsi="Times New Roman"/>
          <w:sz w:val="27"/>
          <w:szCs w:val="27"/>
          <w:lang w:val="en-US"/>
        </w:rPr>
        <w:t>;</w:t>
      </w:r>
    </w:p>
    <w:p w:rsidR="00990D5B" w:rsidRPr="00776B95" w:rsidRDefault="005C1C24" w:rsidP="00990D5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7"/>
          <w:szCs w:val="27"/>
          <w:lang w:val="en-US" w:eastAsia="en-GB"/>
        </w:rPr>
      </w:pPr>
      <w:r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lastRenderedPageBreak/>
        <w:t xml:space="preserve">In point </w:t>
      </w:r>
      <w:r w:rsidR="00990D5B"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4/b) </w:t>
      </w:r>
      <w:r w:rsidR="009E0488" w:rsidRPr="00776B95">
        <w:rPr>
          <w:rFonts w:ascii="Times New Roman" w:eastAsia="Times New Roman" w:hAnsi="Times New Roman"/>
          <w:bCs/>
          <w:sz w:val="27"/>
          <w:szCs w:val="27"/>
          <w:lang w:val="en-US"/>
        </w:rPr>
        <w:t>is removed the phrase</w:t>
      </w:r>
      <w:r w:rsidR="00275707" w:rsidRPr="00776B95">
        <w:rPr>
          <w:rFonts w:ascii="Times New Roman" w:eastAsia="Times New Roman" w:hAnsi="Times New Roman"/>
          <w:bCs/>
          <w:sz w:val="27"/>
          <w:szCs w:val="27"/>
          <w:lang w:val="en-US"/>
        </w:rPr>
        <w:t>,</w:t>
      </w:r>
      <w:r w:rsidR="009E0488"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 “</w:t>
      </w:r>
      <w:r w:rsidR="00F70C56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theme mentorship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” </w:t>
      </w:r>
      <w:r w:rsidR="00CF2404" w:rsidRPr="00776B95">
        <w:rPr>
          <w:rFonts w:ascii="Times New Roman" w:eastAsia="Times New Roman" w:hAnsi="Times New Roman"/>
          <w:sz w:val="27"/>
          <w:szCs w:val="27"/>
          <w:lang w:val="en-US"/>
        </w:rPr>
        <w:t>and is removed the sentence</w:t>
      </w:r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 “</w:t>
      </w:r>
      <w:r w:rsidR="00CF2404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Attendance and mentorship or para-professional practice</w:t>
      </w:r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 w:eastAsia="en-GB"/>
        </w:rPr>
        <w:t xml:space="preserve"> (</w:t>
      </w:r>
      <w:r w:rsidR="003945C9" w:rsidRPr="00776B95">
        <w:rPr>
          <w:rFonts w:ascii="Times New Roman" w:eastAsia="Times New Roman" w:hAnsi="Times New Roman"/>
          <w:i/>
          <w:sz w:val="27"/>
          <w:szCs w:val="27"/>
          <w:lang w:val="en-US" w:eastAsia="en-GB"/>
        </w:rPr>
        <w:t>judges and prosecutors assigned by the heads of the courts/prosecution offices</w:t>
      </w:r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 w:eastAsia="en-GB"/>
        </w:rPr>
        <w:t>)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 w:eastAsia="en-GB"/>
        </w:rPr>
        <w:t>”</w:t>
      </w:r>
      <w:r w:rsidR="003945C9" w:rsidRPr="00776B95">
        <w:rPr>
          <w:rFonts w:ascii="Times New Roman" w:eastAsia="Times New Roman" w:hAnsi="Times New Roman"/>
          <w:sz w:val="27"/>
          <w:szCs w:val="27"/>
          <w:lang w:val="en-US" w:eastAsia="en-GB"/>
        </w:rPr>
        <w:t>;</w:t>
      </w:r>
    </w:p>
    <w:p w:rsidR="00990D5B" w:rsidRPr="00776B95" w:rsidRDefault="005C1C24" w:rsidP="00990D5B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/>
          <w:sz w:val="27"/>
          <w:szCs w:val="27"/>
          <w:lang w:val="en-US"/>
        </w:rPr>
      </w:pPr>
      <w:r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In point </w:t>
      </w:r>
      <w:r w:rsidR="00990D5B" w:rsidRPr="00776B95">
        <w:rPr>
          <w:rFonts w:ascii="Times New Roman" w:eastAsia="Times New Roman" w:hAnsi="Times New Roman"/>
          <w:b/>
          <w:sz w:val="27"/>
          <w:szCs w:val="27"/>
          <w:lang w:val="en-US"/>
        </w:rPr>
        <w:t>7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 </w:t>
      </w:r>
      <w:r w:rsidR="00275707" w:rsidRPr="00776B95">
        <w:rPr>
          <w:rFonts w:ascii="Times New Roman" w:eastAsia="Times New Roman" w:hAnsi="Times New Roman"/>
          <w:bCs/>
          <w:sz w:val="27"/>
          <w:szCs w:val="27"/>
          <w:lang w:val="en-US"/>
        </w:rPr>
        <w:t>is removed the phrase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>, “</w:t>
      </w:r>
      <w:r w:rsidR="00034DE4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Commission of themes</w:t>
      </w:r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/op</w:t>
      </w:r>
      <w:r w:rsidR="00584138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ponence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” </w:t>
      </w:r>
      <w:r w:rsidR="00EB041D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and is added the phrase, 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>“</w:t>
      </w:r>
      <w:r w:rsidR="00863CB1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mentorship and evaluation of memos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>”</w:t>
      </w:r>
      <w:r w:rsidR="00863CB1" w:rsidRPr="00776B95">
        <w:rPr>
          <w:rFonts w:ascii="Times New Roman" w:eastAsia="Times New Roman" w:hAnsi="Times New Roman"/>
          <w:sz w:val="27"/>
          <w:szCs w:val="27"/>
          <w:lang w:val="en-US"/>
        </w:rPr>
        <w:t>;</w:t>
      </w:r>
    </w:p>
    <w:p w:rsidR="00990D5B" w:rsidRPr="00776B95" w:rsidRDefault="005C1C24" w:rsidP="00990D5B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7"/>
          <w:szCs w:val="27"/>
          <w:lang w:val="en-US"/>
        </w:rPr>
      </w:pPr>
      <w:r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In point </w:t>
      </w:r>
      <w:r w:rsidR="00990D5B"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10, </w:t>
      </w:r>
      <w:r w:rsidR="00CD3AF3"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first paragraph, </w:t>
      </w:r>
      <w:r w:rsidR="00CD3AF3" w:rsidRPr="00776B95">
        <w:rPr>
          <w:rFonts w:ascii="Times New Roman" w:eastAsia="Times New Roman" w:hAnsi="Times New Roman"/>
          <w:bCs/>
          <w:sz w:val="27"/>
          <w:szCs w:val="27"/>
          <w:lang w:val="en-US"/>
        </w:rPr>
        <w:t>is removed the word</w:t>
      </w:r>
      <w:r w:rsidR="00CD3AF3"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</w:t>
      </w:r>
      <w:r w:rsidR="00990D5B" w:rsidRPr="00776B95">
        <w:rPr>
          <w:rFonts w:ascii="Times New Roman" w:eastAsia="Times New Roman" w:hAnsi="Times New Roman"/>
          <w:bCs/>
          <w:sz w:val="27"/>
          <w:szCs w:val="27"/>
          <w:lang w:val="en-US"/>
        </w:rPr>
        <w:t>“</w:t>
      </w:r>
      <w:r w:rsidR="000F4780" w:rsidRPr="00776B95">
        <w:rPr>
          <w:rFonts w:ascii="Times New Roman" w:eastAsia="Times New Roman" w:hAnsi="Times New Roman"/>
          <w:bCs/>
          <w:i/>
          <w:sz w:val="27"/>
          <w:szCs w:val="27"/>
          <w:lang w:val="en-US"/>
        </w:rPr>
        <w:t>and continuous</w:t>
      </w:r>
      <w:r w:rsidR="00990D5B"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”</w:t>
      </w:r>
      <w:r w:rsidR="008A24B4"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, </w:t>
      </w:r>
      <w:r w:rsidR="008A24B4" w:rsidRPr="00776B95">
        <w:rPr>
          <w:rFonts w:ascii="Times New Roman" w:eastAsia="Times New Roman" w:hAnsi="Times New Roman"/>
          <w:bCs/>
          <w:sz w:val="27"/>
          <w:szCs w:val="27"/>
          <w:lang w:val="en-US"/>
        </w:rPr>
        <w:t>as well as is added the paragraph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>, “</w:t>
      </w:r>
      <w:r w:rsidR="00B0609D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Internal lecturers are going to complete the above mentioned norm if they have elaborated in the auditorium </w:t>
      </w:r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60 %  </w:t>
      </w:r>
      <w:r w:rsidR="00D64208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of the total classes for every subject</w:t>
      </w:r>
      <w:r w:rsidR="00B0609D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.</w:t>
      </w:r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”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 </w:t>
      </w:r>
      <w:bookmarkStart w:id="0" w:name="_Hlk126151627"/>
    </w:p>
    <w:bookmarkEnd w:id="0"/>
    <w:p w:rsidR="00990D5B" w:rsidRPr="00776B95" w:rsidRDefault="00990D5B" w:rsidP="00990D5B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7"/>
          <w:szCs w:val="27"/>
          <w:lang w:val="en-US"/>
        </w:rPr>
      </w:pPr>
      <w:r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P</w:t>
      </w:r>
      <w:r w:rsidR="00A56421"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oint</w:t>
      </w:r>
      <w:r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13 </w:t>
      </w:r>
      <w:r w:rsidR="00B91B7D"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is amended as follows</w:t>
      </w:r>
      <w:bookmarkStart w:id="1" w:name="_Hlk126151570"/>
      <w:r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:</w:t>
      </w:r>
      <w:r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 </w:t>
      </w:r>
    </w:p>
    <w:p w:rsidR="00990D5B" w:rsidRPr="00776B95" w:rsidRDefault="009D39EA" w:rsidP="00990D5B">
      <w:pPr>
        <w:numPr>
          <w:ilvl w:val="0"/>
          <w:numId w:val="3"/>
        </w:numPr>
        <w:jc w:val="both"/>
        <w:rPr>
          <w:rFonts w:ascii="Times New Roman" w:eastAsia="Times New Roman" w:hAnsi="Times New Roman"/>
          <w:i/>
          <w:sz w:val="27"/>
          <w:szCs w:val="27"/>
          <w:lang w:val="en-US"/>
        </w:rPr>
      </w:pPr>
      <w:r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Annual standardized </w:t>
      </w:r>
      <w:r w:rsidR="00D565D5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annual teaching for the part – time pedagogical staff in the Initial Formation is going to be no more than </w:t>
      </w:r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40% </w:t>
      </w:r>
      <w:r w:rsidR="00AC24CC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of the annual load of the subject only for the main subjects, with the exception of cases when is foreseen differently by the Steering Council. </w:t>
      </w:r>
      <w:r w:rsidR="00F17739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For subjects, that do not have a full-time </w:t>
      </w:r>
      <w:r w:rsidR="00BD2665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lecturer, its greatest teaching load</w:t>
      </w:r>
      <w:r w:rsidR="005F2011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 is going to be covered by the part-time lecturer, head of the subject. </w:t>
      </w:r>
    </w:p>
    <w:p w:rsidR="00990D5B" w:rsidRPr="00776B95" w:rsidRDefault="00511EC1" w:rsidP="00990D5B">
      <w:pPr>
        <w:numPr>
          <w:ilvl w:val="0"/>
          <w:numId w:val="3"/>
        </w:numPr>
        <w:jc w:val="both"/>
        <w:rPr>
          <w:rFonts w:ascii="Times New Roman" w:eastAsia="Times New Roman" w:hAnsi="Times New Roman"/>
          <w:i/>
          <w:sz w:val="27"/>
          <w:szCs w:val="27"/>
          <w:lang w:val="en-US"/>
        </w:rPr>
      </w:pPr>
      <w:r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Annual standardized annual teaching </w:t>
      </w:r>
      <w:r w:rsidR="003E05C0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for the full-time pedagogical staff in the Initial Formation is going to be</w:t>
      </w:r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 60% </w:t>
      </w:r>
      <w:r w:rsidR="00873272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of the annual load of the subject for the main subjects. </w:t>
      </w:r>
      <w:r w:rsidR="00F723EE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In cases when lecturers leave teaching for objective reasons or for other reasons, during the academic year, classes will be shared between lecturers under the order of the Director</w:t>
      </w:r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.</w:t>
      </w:r>
    </w:p>
    <w:p w:rsidR="00990D5B" w:rsidRPr="00776B95" w:rsidRDefault="0012390D" w:rsidP="00990D5B">
      <w:pPr>
        <w:numPr>
          <w:ilvl w:val="0"/>
          <w:numId w:val="3"/>
        </w:numPr>
        <w:jc w:val="both"/>
        <w:rPr>
          <w:rFonts w:ascii="Times New Roman" w:eastAsia="Times New Roman" w:hAnsi="Times New Roman"/>
          <w:i/>
          <w:sz w:val="27"/>
          <w:szCs w:val="27"/>
          <w:lang w:val="en-US"/>
        </w:rPr>
      </w:pPr>
      <w:r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In the case of the impossibility of the realization of teaching classes by lecturers under the established education </w:t>
      </w:r>
      <w:r w:rsidR="009860A4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schedule, the head lecturer of the subject</w:t>
      </w:r>
      <w:r w:rsidR="001E1C0D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 takes care for their realization by making them by himself, or by sharing them to another lecturer, by the group of lecturers of that subject by not affecting the </w:t>
      </w:r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% </w:t>
      </w:r>
      <w:r w:rsidR="00190B30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of the division of classes</w:t>
      </w:r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.</w:t>
      </w:r>
      <w:r w:rsidR="00990D5B" w:rsidRPr="00776B95">
        <w:rPr>
          <w:rFonts w:ascii="Times New Roman" w:hAnsi="Times New Roman"/>
          <w:i/>
          <w:sz w:val="27"/>
          <w:szCs w:val="27"/>
          <w:lang w:val="en-US"/>
        </w:rPr>
        <w:t xml:space="preserve"> </w:t>
      </w:r>
    </w:p>
    <w:bookmarkEnd w:id="1"/>
    <w:p w:rsidR="00990D5B" w:rsidRPr="00776B95" w:rsidRDefault="00101C4E" w:rsidP="00990D5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  <w:r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Point</w:t>
      </w:r>
      <w:r w:rsidR="00990D5B"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14, </w:t>
      </w:r>
      <w:r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changes tariffs as follows</w:t>
      </w:r>
      <w:r w:rsidR="00990D5B"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:</w:t>
      </w:r>
    </w:p>
    <w:p w:rsidR="00990D5B" w:rsidRPr="00776B95" w:rsidRDefault="007D6104" w:rsidP="00990D5B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/>
          <w:sz w:val="27"/>
          <w:szCs w:val="27"/>
          <w:lang w:val="en-US"/>
        </w:rPr>
      </w:pPr>
      <w:r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Part-time pedagogical staff, according to the role and the activity it performs, as well as home lecturers for the activity on the mentioned norm in point 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11 /a, b, d </w:t>
      </w:r>
      <w:r w:rsidR="00121D19" w:rsidRPr="00776B95">
        <w:rPr>
          <w:rFonts w:ascii="Times New Roman" w:eastAsia="Times New Roman" w:hAnsi="Times New Roman"/>
          <w:sz w:val="27"/>
          <w:szCs w:val="27"/>
          <w:lang w:val="en-US"/>
        </w:rPr>
        <w:t>will be treated financially according to the following categorization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: </w:t>
      </w:r>
    </w:p>
    <w:p w:rsidR="00990D5B" w:rsidRPr="00776B95" w:rsidRDefault="007A1571" w:rsidP="00990D5B">
      <w:pPr>
        <w:numPr>
          <w:ilvl w:val="0"/>
          <w:numId w:val="2"/>
        </w:numPr>
        <w:spacing w:before="100" w:beforeAutospacing="1" w:after="100" w:afterAutospacing="1"/>
        <w:ind w:left="1276"/>
        <w:jc w:val="both"/>
        <w:rPr>
          <w:rFonts w:ascii="Times New Roman" w:eastAsia="Times New Roman" w:hAnsi="Times New Roman"/>
          <w:sz w:val="27"/>
          <w:szCs w:val="27"/>
          <w:lang w:val="en-US"/>
        </w:rPr>
      </w:pPr>
      <w:r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Lecturers 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1410 </w:t>
      </w:r>
      <w:proofErr w:type="spellStart"/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lekë</w:t>
      </w:r>
      <w:proofErr w:type="spellEnd"/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/</w:t>
      </w:r>
      <w:r w:rsidR="00115A59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teaching class</w:t>
      </w:r>
    </w:p>
    <w:p w:rsidR="00990D5B" w:rsidRPr="00776B95" w:rsidRDefault="00C17CDA" w:rsidP="00990D5B">
      <w:pPr>
        <w:numPr>
          <w:ilvl w:val="0"/>
          <w:numId w:val="2"/>
        </w:numPr>
        <w:spacing w:before="100" w:beforeAutospacing="1" w:after="100" w:afterAutospacing="1"/>
        <w:ind w:left="1276"/>
        <w:jc w:val="both"/>
        <w:rPr>
          <w:rFonts w:ascii="Times New Roman" w:eastAsia="Times New Roman" w:hAnsi="Times New Roman"/>
          <w:i/>
          <w:sz w:val="27"/>
          <w:szCs w:val="27"/>
          <w:lang w:val="en-US"/>
        </w:rPr>
      </w:pPr>
      <w:r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Associated lecturer 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1295 </w:t>
      </w:r>
      <w:proofErr w:type="spellStart"/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lekë</w:t>
      </w:r>
      <w:proofErr w:type="spellEnd"/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/</w:t>
      </w:r>
      <w:r w:rsidR="00115A59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teaching class</w:t>
      </w:r>
    </w:p>
    <w:p w:rsidR="00990D5B" w:rsidRPr="00776B95" w:rsidRDefault="00D92361" w:rsidP="00990D5B">
      <w:pPr>
        <w:numPr>
          <w:ilvl w:val="0"/>
          <w:numId w:val="2"/>
        </w:numPr>
        <w:spacing w:after="0" w:line="240" w:lineRule="auto"/>
        <w:ind w:left="1282"/>
        <w:jc w:val="both"/>
        <w:rPr>
          <w:rFonts w:ascii="Times New Roman" w:eastAsia="Times New Roman" w:hAnsi="Times New Roman"/>
          <w:sz w:val="27"/>
          <w:szCs w:val="27"/>
          <w:lang w:val="en-US"/>
        </w:rPr>
      </w:pPr>
      <w:r w:rsidRPr="00776B95">
        <w:rPr>
          <w:rFonts w:ascii="Times New Roman" w:eastAsia="Times New Roman" w:hAnsi="Times New Roman"/>
          <w:sz w:val="27"/>
          <w:szCs w:val="27"/>
          <w:lang w:val="en-US"/>
        </w:rPr>
        <w:t>Judge, prosecutor, lawyer, specialist of the field with experience,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</w:p>
    <w:p w:rsidR="00990D5B" w:rsidRPr="00776B95" w:rsidRDefault="00BD35A5" w:rsidP="00990D5B">
      <w:pPr>
        <w:spacing w:after="0" w:line="240" w:lineRule="auto"/>
        <w:ind w:left="1282"/>
        <w:jc w:val="both"/>
        <w:rPr>
          <w:rFonts w:ascii="Times New Roman" w:eastAsia="Times New Roman" w:hAnsi="Times New Roman"/>
          <w:sz w:val="27"/>
          <w:szCs w:val="27"/>
          <w:lang w:val="en-US"/>
        </w:rPr>
      </w:pPr>
      <w:proofErr w:type="gramStart"/>
      <w:r w:rsidRPr="00776B95">
        <w:rPr>
          <w:rFonts w:ascii="Times New Roman" w:eastAsia="Times New Roman" w:hAnsi="Times New Roman"/>
          <w:sz w:val="27"/>
          <w:szCs w:val="27"/>
          <w:lang w:val="en-US"/>
        </w:rPr>
        <w:t>no</w:t>
      </w:r>
      <w:proofErr w:type="gramEnd"/>
      <w:r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 less than 10 </w:t>
      </w:r>
      <w:r w:rsidR="009E4C1B" w:rsidRPr="00776B95">
        <w:rPr>
          <w:rFonts w:ascii="Times New Roman" w:eastAsia="Times New Roman" w:hAnsi="Times New Roman"/>
          <w:sz w:val="27"/>
          <w:szCs w:val="27"/>
          <w:lang w:val="en-US"/>
        </w:rPr>
        <w:t>years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 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1200 </w:t>
      </w:r>
      <w:proofErr w:type="spellStart"/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lekë</w:t>
      </w:r>
      <w:proofErr w:type="spellEnd"/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/</w:t>
      </w:r>
      <w:r w:rsidR="00115A59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teaching class</w:t>
      </w:r>
    </w:p>
    <w:p w:rsidR="00990D5B" w:rsidRPr="00776B95" w:rsidRDefault="009E4C1B" w:rsidP="00990D5B">
      <w:pPr>
        <w:numPr>
          <w:ilvl w:val="0"/>
          <w:numId w:val="2"/>
        </w:numPr>
        <w:spacing w:before="100" w:beforeAutospacing="1" w:after="100" w:afterAutospacing="1"/>
        <w:ind w:left="1276"/>
        <w:jc w:val="both"/>
        <w:rPr>
          <w:rFonts w:ascii="Times New Roman" w:eastAsia="Times New Roman" w:hAnsi="Times New Roman"/>
          <w:sz w:val="27"/>
          <w:szCs w:val="27"/>
          <w:lang w:val="en-US"/>
        </w:rPr>
      </w:pPr>
      <w:r w:rsidRPr="00776B95">
        <w:rPr>
          <w:rFonts w:ascii="Times New Roman" w:eastAsia="Times New Roman" w:hAnsi="Times New Roman"/>
          <w:sz w:val="27"/>
          <w:szCs w:val="27"/>
          <w:lang w:val="en-US"/>
        </w:rPr>
        <w:t>First lecturer/ Doctor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940 </w:t>
      </w:r>
      <w:proofErr w:type="spellStart"/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lekë</w:t>
      </w:r>
      <w:proofErr w:type="spellEnd"/>
      <w:r w:rsidR="00990D5B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/</w:t>
      </w:r>
      <w:r w:rsidR="00115A59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teaching class</w:t>
      </w:r>
    </w:p>
    <w:p w:rsidR="00990D5B" w:rsidRPr="00776B95" w:rsidRDefault="00990D5B" w:rsidP="00990D5B">
      <w:pPr>
        <w:numPr>
          <w:ilvl w:val="0"/>
          <w:numId w:val="2"/>
        </w:numPr>
        <w:spacing w:before="100" w:beforeAutospacing="1" w:after="100" w:afterAutospacing="1"/>
        <w:ind w:left="1276"/>
        <w:jc w:val="both"/>
        <w:rPr>
          <w:rFonts w:ascii="Times New Roman" w:eastAsia="Times New Roman" w:hAnsi="Times New Roman"/>
          <w:sz w:val="27"/>
          <w:szCs w:val="27"/>
          <w:lang w:val="en-US"/>
        </w:rPr>
      </w:pPr>
      <w:r w:rsidRPr="00776B95">
        <w:rPr>
          <w:rFonts w:ascii="Times New Roman" w:eastAsia="Times New Roman" w:hAnsi="Times New Roman"/>
          <w:sz w:val="27"/>
          <w:szCs w:val="27"/>
          <w:lang w:val="en-US"/>
        </w:rPr>
        <w:lastRenderedPageBreak/>
        <w:t xml:space="preserve">Master </w:t>
      </w:r>
      <w:r w:rsidR="00D00E38" w:rsidRPr="00776B95">
        <w:rPr>
          <w:rFonts w:ascii="Times New Roman" w:eastAsia="Times New Roman" w:hAnsi="Times New Roman"/>
          <w:sz w:val="27"/>
          <w:szCs w:val="27"/>
          <w:lang w:val="en-US"/>
        </w:rPr>
        <w:t>of the Second Level/Magistrature, etc.,</w:t>
      </w:r>
      <w:r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Pr="00776B95">
        <w:rPr>
          <w:rFonts w:ascii="Times New Roman" w:eastAsia="Times New Roman" w:hAnsi="Times New Roman"/>
          <w:sz w:val="27"/>
          <w:szCs w:val="27"/>
          <w:lang w:val="en-US"/>
        </w:rPr>
        <w:tab/>
      </w:r>
      <w:r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705 </w:t>
      </w:r>
      <w:proofErr w:type="spellStart"/>
      <w:r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lekë</w:t>
      </w:r>
      <w:proofErr w:type="spellEnd"/>
      <w:r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/</w:t>
      </w:r>
      <w:r w:rsidR="00115A59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teaching class</w:t>
      </w:r>
    </w:p>
    <w:p w:rsidR="00990D5B" w:rsidRPr="00776B95" w:rsidRDefault="00990D5B" w:rsidP="00990D5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7"/>
          <w:szCs w:val="27"/>
          <w:lang w:val="en-US"/>
        </w:rPr>
      </w:pPr>
    </w:p>
    <w:p w:rsidR="00990D5B" w:rsidRPr="00776B95" w:rsidRDefault="00115A59" w:rsidP="00990D5B">
      <w:pPr>
        <w:numPr>
          <w:ilvl w:val="0"/>
          <w:numId w:val="1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/>
          <w:sz w:val="27"/>
          <w:szCs w:val="27"/>
          <w:lang w:val="en-US"/>
        </w:rPr>
      </w:pPr>
      <w:r w:rsidRPr="00776B95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In point </w:t>
      </w:r>
      <w:proofErr w:type="gramStart"/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>16,</w:t>
      </w:r>
      <w:proofErr w:type="gramEnd"/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 </w:t>
      </w:r>
      <w:r w:rsidR="00181C1D" w:rsidRPr="00776B95">
        <w:rPr>
          <w:rFonts w:ascii="Times New Roman" w:eastAsia="Times New Roman" w:hAnsi="Times New Roman"/>
          <w:sz w:val="27"/>
          <w:szCs w:val="27"/>
          <w:lang w:val="en-US"/>
        </w:rPr>
        <w:t>are removed phrases,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 “</w:t>
      </w:r>
      <w:r w:rsidR="00D47B6D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>mentor of themes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” </w:t>
      </w:r>
      <w:r w:rsidR="00D47B6D" w:rsidRPr="00776B95">
        <w:rPr>
          <w:rFonts w:ascii="Times New Roman" w:eastAsia="Times New Roman" w:hAnsi="Times New Roman"/>
          <w:sz w:val="27"/>
          <w:szCs w:val="27"/>
          <w:lang w:val="en-US"/>
        </w:rPr>
        <w:t>and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 w:eastAsia="en-GB"/>
        </w:rPr>
        <w:t xml:space="preserve"> “</w:t>
      </w:r>
      <w:r w:rsidR="00215829" w:rsidRPr="00776B95">
        <w:rPr>
          <w:rFonts w:ascii="Times New Roman" w:eastAsia="Times New Roman" w:hAnsi="Times New Roman"/>
          <w:i/>
          <w:sz w:val="27"/>
          <w:szCs w:val="27"/>
          <w:lang w:val="en-US" w:eastAsia="en-GB"/>
        </w:rPr>
        <w:t>members of the commission for the evaluation of themes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 w:eastAsia="en-GB"/>
        </w:rPr>
        <w:t>”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 </w:t>
      </w:r>
      <w:r w:rsidR="00B23F2F" w:rsidRPr="00776B95">
        <w:rPr>
          <w:rFonts w:ascii="Times New Roman" w:eastAsia="Times New Roman" w:hAnsi="Times New Roman"/>
          <w:sz w:val="27"/>
          <w:szCs w:val="27"/>
          <w:lang w:val="en-US"/>
        </w:rPr>
        <w:t>and is added the phrase,</w:t>
      </w:r>
      <w:r w:rsidR="00990D5B" w:rsidRPr="00776B95">
        <w:rPr>
          <w:rFonts w:ascii="Times New Roman" w:eastAsia="Times New Roman" w:hAnsi="Times New Roman"/>
          <w:sz w:val="27"/>
          <w:szCs w:val="27"/>
          <w:lang w:val="en-US"/>
        </w:rPr>
        <w:t xml:space="preserve"> “</w:t>
      </w:r>
      <w:r w:rsidR="00645C19" w:rsidRPr="00776B95">
        <w:rPr>
          <w:rFonts w:ascii="Times New Roman" w:eastAsia="Times New Roman" w:hAnsi="Times New Roman"/>
          <w:i/>
          <w:sz w:val="27"/>
          <w:szCs w:val="27"/>
          <w:lang w:val="en-US"/>
        </w:rPr>
        <w:t xml:space="preserve">mentorship and evaluation of memos.” </w:t>
      </w:r>
    </w:p>
    <w:p w:rsidR="00990D5B" w:rsidRPr="00776B95" w:rsidRDefault="00BA506C" w:rsidP="00990D5B">
      <w:pPr>
        <w:numPr>
          <w:ilvl w:val="0"/>
          <w:numId w:val="1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/>
          <w:sz w:val="27"/>
          <w:szCs w:val="27"/>
          <w:lang w:val="en-US"/>
        </w:rPr>
      </w:pPr>
      <w:r w:rsidRPr="00776B95">
        <w:rPr>
          <w:rFonts w:ascii="Times New Roman" w:hAnsi="Times New Roman"/>
          <w:sz w:val="27"/>
          <w:szCs w:val="27"/>
          <w:lang w:val="en-US"/>
        </w:rPr>
        <w:t xml:space="preserve">Financial effects are extended for the Academic year </w:t>
      </w:r>
      <w:r w:rsidR="00990D5B" w:rsidRPr="00776B95">
        <w:rPr>
          <w:rFonts w:ascii="Times New Roman" w:hAnsi="Times New Roman"/>
          <w:sz w:val="27"/>
          <w:szCs w:val="27"/>
          <w:lang w:val="en-US"/>
        </w:rPr>
        <w:t>2022-2023.</w:t>
      </w:r>
    </w:p>
    <w:p w:rsidR="0048615F" w:rsidRPr="00776B95" w:rsidRDefault="0048615F" w:rsidP="0048615F">
      <w:pPr>
        <w:pStyle w:val="NoSpacing1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r w:rsidRPr="00776B95">
        <w:rPr>
          <w:sz w:val="27"/>
          <w:szCs w:val="27"/>
        </w:rPr>
        <w:t xml:space="preserve">This decision comes immediately into force!  </w:t>
      </w:r>
    </w:p>
    <w:p w:rsidR="00990D5B" w:rsidRPr="00776B95" w:rsidRDefault="00990D5B" w:rsidP="00990D5B">
      <w:pPr>
        <w:pStyle w:val="ListParagraph"/>
        <w:spacing w:after="0"/>
        <w:ind w:left="360"/>
        <w:jc w:val="both"/>
        <w:rPr>
          <w:rFonts w:ascii="Times New Roman" w:hAnsi="Times New Roman"/>
          <w:sz w:val="27"/>
          <w:szCs w:val="27"/>
          <w:lang w:val="en-US"/>
        </w:rPr>
      </w:pPr>
      <w:r w:rsidRPr="00776B95">
        <w:rPr>
          <w:rFonts w:ascii="Times New Roman" w:hAnsi="Times New Roman"/>
          <w:sz w:val="27"/>
          <w:szCs w:val="27"/>
          <w:lang w:val="en-US"/>
        </w:rPr>
        <w:t xml:space="preserve"> </w:t>
      </w:r>
    </w:p>
    <w:p w:rsidR="00990D5B" w:rsidRPr="00776B95" w:rsidRDefault="00990D5B" w:rsidP="00990D5B">
      <w:pPr>
        <w:pStyle w:val="ListParagraph"/>
        <w:spacing w:after="0"/>
        <w:ind w:left="0"/>
        <w:rPr>
          <w:rFonts w:ascii="Times New Roman" w:hAnsi="Times New Roman"/>
          <w:b/>
          <w:sz w:val="27"/>
          <w:szCs w:val="27"/>
          <w:lang w:val="en-US"/>
        </w:rPr>
      </w:pPr>
    </w:p>
    <w:p w:rsidR="00990D5B" w:rsidRPr="00776B95" w:rsidRDefault="00990D5B" w:rsidP="00990D5B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7"/>
          <w:szCs w:val="27"/>
          <w:lang w:val="en-US"/>
        </w:rPr>
      </w:pPr>
    </w:p>
    <w:p w:rsidR="00265E58" w:rsidRPr="00776B95" w:rsidRDefault="00265E58" w:rsidP="00265E58">
      <w:pPr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776B95">
        <w:rPr>
          <w:rFonts w:ascii="Times New Roman" w:hAnsi="Times New Roman"/>
          <w:b/>
          <w:sz w:val="27"/>
          <w:szCs w:val="27"/>
          <w:lang w:val="en-US"/>
        </w:rPr>
        <w:t xml:space="preserve">VICE-HEAD </w:t>
      </w:r>
    </w:p>
    <w:p w:rsidR="00265E58" w:rsidRPr="00776B95" w:rsidRDefault="00265E58" w:rsidP="00265E58">
      <w:pPr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776B95">
        <w:rPr>
          <w:rFonts w:ascii="Times New Roman" w:hAnsi="Times New Roman"/>
          <w:b/>
          <w:sz w:val="27"/>
          <w:szCs w:val="27"/>
          <w:lang w:val="en-US"/>
        </w:rPr>
        <w:t>OLSIAN ÇELA</w:t>
      </w:r>
    </w:p>
    <w:p w:rsidR="00990D5B" w:rsidRPr="00776B95" w:rsidRDefault="00990D5B" w:rsidP="00990D5B">
      <w:pPr>
        <w:jc w:val="both"/>
        <w:rPr>
          <w:rFonts w:ascii="Times New Roman" w:hAnsi="Times New Roman"/>
          <w:b/>
          <w:sz w:val="27"/>
          <w:szCs w:val="27"/>
          <w:lang w:val="en-US"/>
        </w:rPr>
      </w:pPr>
    </w:p>
    <w:p w:rsidR="00990D5B" w:rsidRPr="00776B95" w:rsidRDefault="00990D5B" w:rsidP="00990D5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7"/>
          <w:szCs w:val="27"/>
          <w:lang w:val="en-US"/>
        </w:rPr>
      </w:pPr>
    </w:p>
    <w:p w:rsidR="00990D5B" w:rsidRPr="00776B95" w:rsidRDefault="00990D5B" w:rsidP="00990D5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7"/>
          <w:szCs w:val="27"/>
          <w:lang w:val="en-US"/>
        </w:rPr>
      </w:pPr>
    </w:p>
    <w:p w:rsidR="00990D5B" w:rsidRPr="00776B95" w:rsidRDefault="00990D5B" w:rsidP="00990D5B">
      <w:p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val="en-US" w:eastAsia="en-GB"/>
        </w:rPr>
      </w:pPr>
    </w:p>
    <w:p w:rsidR="00990D5B" w:rsidRPr="00776B95" w:rsidRDefault="00990D5B" w:rsidP="00990D5B">
      <w:pPr>
        <w:spacing w:after="0" w:line="240" w:lineRule="auto"/>
        <w:jc w:val="both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776B95">
        <w:rPr>
          <w:rFonts w:ascii="Times New Roman" w:eastAsia="MS Mincho" w:hAnsi="Times New Roman"/>
          <w:sz w:val="27"/>
          <w:szCs w:val="27"/>
          <w:lang w:val="en-US"/>
        </w:rPr>
        <w:tab/>
      </w:r>
      <w:r w:rsidRPr="00776B95">
        <w:rPr>
          <w:rFonts w:ascii="Times New Roman" w:eastAsia="MS Mincho" w:hAnsi="Times New Roman"/>
          <w:sz w:val="27"/>
          <w:szCs w:val="27"/>
          <w:lang w:val="en-US"/>
        </w:rPr>
        <w:tab/>
      </w:r>
    </w:p>
    <w:p w:rsidR="00990D5B" w:rsidRPr="00776B95" w:rsidRDefault="00990D5B" w:rsidP="00990D5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</w:p>
    <w:p w:rsidR="006F6DE7" w:rsidRPr="00776B95" w:rsidRDefault="00105F4E">
      <w:pPr>
        <w:rPr>
          <w:sz w:val="27"/>
          <w:szCs w:val="27"/>
          <w:lang w:val="en-US"/>
        </w:rPr>
      </w:pPr>
    </w:p>
    <w:sectPr w:rsidR="006F6DE7" w:rsidRPr="00776B95" w:rsidSect="006E5CD6">
      <w:footerReference w:type="default" r:id="rId8"/>
      <w:pgSz w:w="12240" w:h="15840"/>
      <w:pgMar w:top="630" w:right="1183" w:bottom="851" w:left="1418" w:header="720" w:footer="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4E" w:rsidRDefault="00105F4E" w:rsidP="00BA545D">
      <w:pPr>
        <w:spacing w:after="0" w:line="240" w:lineRule="auto"/>
      </w:pPr>
      <w:r>
        <w:separator/>
      </w:r>
    </w:p>
  </w:endnote>
  <w:endnote w:type="continuationSeparator" w:id="0">
    <w:p w:rsidR="00105F4E" w:rsidRDefault="00105F4E" w:rsidP="00BA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14" w:rsidRPr="00401A05" w:rsidRDefault="00105F4E" w:rsidP="00442546">
    <w:pPr>
      <w:tabs>
        <w:tab w:val="left" w:pos="705"/>
        <w:tab w:val="center" w:pos="4419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397C14" w:rsidRPr="00401A05" w:rsidRDefault="00BA545D" w:rsidP="00442546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360"/>
      <w:jc w:val="center"/>
      <w:rPr>
        <w:rFonts w:ascii="Times New Roman" w:hAnsi="Times New Roman"/>
        <w:sz w:val="20"/>
        <w:szCs w:val="20"/>
      </w:rPr>
    </w:pPr>
    <w:r w:rsidRPr="00BA545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3" o:spid="_x0000_s2049" type="#_x0000_t32" style="position:absolute;left:0;text-align:left;margin-left:9.75pt;margin-top:-.95pt;width:450.7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/1bmL98AAAANAQAADwAAAGRycy9kb3ducmV2Lnht&#10;bExPTWvCQBC9F/wPywi9FN0koDQxG5GWHnqsCr2u2WkSzc6G7Mak/vpO6cFeBt68mfeRbyfbiiv2&#10;vnGkIF5GIJBKZxqqFBwPb4tnED5oMrp1hAq+0cO2mD3kOjNupA+87kMlWIR8phXUIXSZlL6s0Wq/&#10;dB0Sc1+utzow7Ctpej2yuG1lEkVraXVD7FDrDl9qLC/7wSpAP6ziaJfa6vh+G58+k9t57A5KPc6n&#10;1w2P3QZEwCncP+C3A+eHgoOd3EDGi5ZxuuJLBYs4BcF8msRc8PS3kEUu/7cofgAAAP//AwBQSwEC&#10;LQAUAAYACAAAACEAtoM4kv4AAADhAQAAEwAAAAAAAAAAAAAAAAAAAAAAW0NvbnRlbnRfVHlwZXNd&#10;LnhtbFBLAQItABQABgAIAAAAIQA4/SH/1gAAAJQBAAALAAAAAAAAAAAAAAAAAC8BAABfcmVscy8u&#10;cmVsc1BLAQItABQABgAIAAAAIQDu9kdVtQEAAFYDAAAOAAAAAAAAAAAAAAAAAC4CAABkcnMvZTJv&#10;RG9jLnhtbFBLAQItABQABgAIAAAAIQD/VuYv3wAAAA0BAAAPAAAAAAAAAAAAAAAAAA8EAABkcnMv&#10;ZG93bnJldi54bWxQSwUGAAAAAAQABADzAAAAGwUAAAAA&#10;"/>
      </w:pict>
    </w:r>
    <w:r w:rsidR="00B055B6" w:rsidRPr="00401A05">
      <w:rPr>
        <w:rFonts w:ascii="Times New Roman" w:hAnsi="Times New Roman"/>
        <w:sz w:val="20"/>
        <w:szCs w:val="20"/>
      </w:rPr>
      <w:t xml:space="preserve">Tel: (04) </w:t>
    </w:r>
    <w:r w:rsidR="00B055B6" w:rsidRPr="00401A05">
      <w:rPr>
        <w:rFonts w:ascii="Times New Roman" w:hAnsi="Times New Roman"/>
        <w:bCs/>
        <w:sz w:val="20"/>
        <w:szCs w:val="20"/>
      </w:rPr>
      <w:t>2468825</w:t>
    </w:r>
    <w:r w:rsidR="00B055B6" w:rsidRPr="00401A05">
      <w:rPr>
        <w:rFonts w:ascii="Times New Roman" w:hAnsi="Times New Roman"/>
        <w:sz w:val="20"/>
        <w:szCs w:val="20"/>
      </w:rPr>
      <w:t>, Rr. “Ana Komnena”, Godina “Poli i Drejtësisë”, Tiranë.</w:t>
    </w:r>
  </w:p>
  <w:p w:rsidR="004277BB" w:rsidRPr="00442546" w:rsidRDefault="00B055B6" w:rsidP="00442546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360"/>
      <w:jc w:val="center"/>
      <w:rPr>
        <w:rFonts w:ascii="Times New Roman" w:hAnsi="Times New Roman"/>
        <w:sz w:val="20"/>
        <w:szCs w:val="20"/>
      </w:rPr>
    </w:pPr>
    <w:r w:rsidRPr="00401A05">
      <w:rPr>
        <w:rFonts w:ascii="Times New Roman" w:hAnsi="Times New Roman"/>
        <w:color w:val="000000"/>
        <w:sz w:val="20"/>
        <w:szCs w:val="20"/>
      </w:rPr>
      <w:t xml:space="preserve">E-mail: </w:t>
    </w:r>
    <w:hyperlink r:id="rId1" w:history="1">
      <w:r w:rsidRPr="00401A05">
        <w:rPr>
          <w:rStyle w:val="Hyperlink"/>
          <w:rFonts w:ascii="Times New Roman" w:hAnsi="Times New Roman"/>
          <w:sz w:val="20"/>
          <w:szCs w:val="20"/>
        </w:rPr>
        <w:t>info@magjistratura.edu.al</w:t>
      </w:r>
    </w:hyperlink>
    <w:r w:rsidRPr="00401A05">
      <w:rPr>
        <w:rFonts w:ascii="Times New Roman" w:hAnsi="Times New Roman"/>
        <w:color w:val="000000"/>
        <w:sz w:val="20"/>
        <w:szCs w:val="20"/>
      </w:rPr>
      <w:t xml:space="preserve">; </w:t>
    </w:r>
    <w:hyperlink r:id="rId2" w:history="1">
      <w:r>
        <w:rPr>
          <w:rStyle w:val="Hyperlink"/>
          <w:rFonts w:ascii="Times New Roman" w:hAnsi="Times New Roman"/>
          <w:sz w:val="20"/>
          <w:szCs w:val="20"/>
        </w:rPr>
        <w:t>ëëë</w:t>
      </w:r>
      <w:r w:rsidRPr="008E2F7B">
        <w:rPr>
          <w:rStyle w:val="Hyperlink"/>
          <w:rFonts w:ascii="Times New Roman" w:hAnsi="Times New Roman"/>
          <w:sz w:val="20"/>
          <w:szCs w:val="20"/>
        </w:rPr>
        <w:t>.magjistratura.edu.al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4E" w:rsidRDefault="00105F4E" w:rsidP="00BA545D">
      <w:pPr>
        <w:spacing w:after="0" w:line="240" w:lineRule="auto"/>
      </w:pPr>
      <w:r>
        <w:separator/>
      </w:r>
    </w:p>
  </w:footnote>
  <w:footnote w:type="continuationSeparator" w:id="0">
    <w:p w:rsidR="00105F4E" w:rsidRDefault="00105F4E" w:rsidP="00BA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B32"/>
    <w:multiLevelType w:val="hybridMultilevel"/>
    <w:tmpl w:val="04E2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917A8"/>
    <w:multiLevelType w:val="hybridMultilevel"/>
    <w:tmpl w:val="7F1266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BA4301"/>
    <w:multiLevelType w:val="hybridMultilevel"/>
    <w:tmpl w:val="0BCE46A4"/>
    <w:lvl w:ilvl="0" w:tplc="64081F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A0383D"/>
    <w:multiLevelType w:val="hybridMultilevel"/>
    <w:tmpl w:val="E57EC5B2"/>
    <w:lvl w:ilvl="0" w:tplc="B6BCD0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Straight Arrow Connector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90D5B"/>
    <w:rsid w:val="00005DC6"/>
    <w:rsid w:val="000300F1"/>
    <w:rsid w:val="00034DE4"/>
    <w:rsid w:val="00046D89"/>
    <w:rsid w:val="000B35DA"/>
    <w:rsid w:val="000D4431"/>
    <w:rsid w:val="000D6147"/>
    <w:rsid w:val="000F4780"/>
    <w:rsid w:val="00100887"/>
    <w:rsid w:val="00101C4E"/>
    <w:rsid w:val="00105F4E"/>
    <w:rsid w:val="00115A59"/>
    <w:rsid w:val="00121D19"/>
    <w:rsid w:val="0012390D"/>
    <w:rsid w:val="00181C1D"/>
    <w:rsid w:val="00190B30"/>
    <w:rsid w:val="001E1C0D"/>
    <w:rsid w:val="00215829"/>
    <w:rsid w:val="00265E58"/>
    <w:rsid w:val="00275707"/>
    <w:rsid w:val="002B7C9E"/>
    <w:rsid w:val="002F0BB2"/>
    <w:rsid w:val="0030717C"/>
    <w:rsid w:val="0032391B"/>
    <w:rsid w:val="0034037A"/>
    <w:rsid w:val="0035127D"/>
    <w:rsid w:val="00365316"/>
    <w:rsid w:val="003653E0"/>
    <w:rsid w:val="00385340"/>
    <w:rsid w:val="0038770C"/>
    <w:rsid w:val="003945C9"/>
    <w:rsid w:val="003B0AB2"/>
    <w:rsid w:val="003E05C0"/>
    <w:rsid w:val="0048615F"/>
    <w:rsid w:val="004D178B"/>
    <w:rsid w:val="00511EC1"/>
    <w:rsid w:val="00520E6F"/>
    <w:rsid w:val="00562F18"/>
    <w:rsid w:val="005717E7"/>
    <w:rsid w:val="00584138"/>
    <w:rsid w:val="00597694"/>
    <w:rsid w:val="005C1C24"/>
    <w:rsid w:val="005F2011"/>
    <w:rsid w:val="005F600D"/>
    <w:rsid w:val="00645C19"/>
    <w:rsid w:val="00671930"/>
    <w:rsid w:val="006A7906"/>
    <w:rsid w:val="006B1A97"/>
    <w:rsid w:val="006C5B00"/>
    <w:rsid w:val="006D1246"/>
    <w:rsid w:val="00724C11"/>
    <w:rsid w:val="00737E2C"/>
    <w:rsid w:val="00776B95"/>
    <w:rsid w:val="007A1571"/>
    <w:rsid w:val="007B6AE8"/>
    <w:rsid w:val="007D6104"/>
    <w:rsid w:val="00863CB1"/>
    <w:rsid w:val="00871D5F"/>
    <w:rsid w:val="00873272"/>
    <w:rsid w:val="008A24B4"/>
    <w:rsid w:val="008C6E99"/>
    <w:rsid w:val="008F45EC"/>
    <w:rsid w:val="008F7E1E"/>
    <w:rsid w:val="00905F0E"/>
    <w:rsid w:val="00937F19"/>
    <w:rsid w:val="009860A4"/>
    <w:rsid w:val="00990D5B"/>
    <w:rsid w:val="009B0E3A"/>
    <w:rsid w:val="009B57BF"/>
    <w:rsid w:val="009D39EA"/>
    <w:rsid w:val="009E0488"/>
    <w:rsid w:val="009E4C1B"/>
    <w:rsid w:val="009F4703"/>
    <w:rsid w:val="00A10C41"/>
    <w:rsid w:val="00A56421"/>
    <w:rsid w:val="00AC24CC"/>
    <w:rsid w:val="00B055B6"/>
    <w:rsid w:val="00B0609D"/>
    <w:rsid w:val="00B113DA"/>
    <w:rsid w:val="00B20D78"/>
    <w:rsid w:val="00B23F2F"/>
    <w:rsid w:val="00B53E61"/>
    <w:rsid w:val="00B637B7"/>
    <w:rsid w:val="00B91B7D"/>
    <w:rsid w:val="00BA2576"/>
    <w:rsid w:val="00BA506C"/>
    <w:rsid w:val="00BA545D"/>
    <w:rsid w:val="00BD2665"/>
    <w:rsid w:val="00BD35A5"/>
    <w:rsid w:val="00C02097"/>
    <w:rsid w:val="00C10953"/>
    <w:rsid w:val="00C17CDA"/>
    <w:rsid w:val="00CD1500"/>
    <w:rsid w:val="00CD3AF3"/>
    <w:rsid w:val="00CE749E"/>
    <w:rsid w:val="00CF2404"/>
    <w:rsid w:val="00CF3909"/>
    <w:rsid w:val="00D00E38"/>
    <w:rsid w:val="00D0178B"/>
    <w:rsid w:val="00D47B6D"/>
    <w:rsid w:val="00D565D5"/>
    <w:rsid w:val="00D64208"/>
    <w:rsid w:val="00D92361"/>
    <w:rsid w:val="00D961D4"/>
    <w:rsid w:val="00DF279A"/>
    <w:rsid w:val="00E100A5"/>
    <w:rsid w:val="00E22652"/>
    <w:rsid w:val="00E77886"/>
    <w:rsid w:val="00EA11EE"/>
    <w:rsid w:val="00EB041D"/>
    <w:rsid w:val="00EC2E10"/>
    <w:rsid w:val="00F17739"/>
    <w:rsid w:val="00F32E9F"/>
    <w:rsid w:val="00F70C56"/>
    <w:rsid w:val="00F723EE"/>
    <w:rsid w:val="00FF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5B"/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0D5B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0D5B"/>
    <w:rPr>
      <w:rFonts w:ascii="Calibri" w:eastAsia="Calibri" w:hAnsi="Calibri" w:cs="Times New Roman"/>
      <w:sz w:val="20"/>
      <w:szCs w:val="20"/>
      <w:lang w:val="sq-AL"/>
    </w:rPr>
  </w:style>
  <w:style w:type="character" w:styleId="Hyperlink">
    <w:name w:val="Hyperlink"/>
    <w:rsid w:val="00990D5B"/>
    <w:rPr>
      <w:color w:val="0000FF"/>
      <w:u w:val="single"/>
    </w:rPr>
  </w:style>
  <w:style w:type="paragraph" w:styleId="NoSpacing">
    <w:name w:val="No Spacing"/>
    <w:uiPriority w:val="1"/>
    <w:qFormat/>
    <w:rsid w:val="00D961D4"/>
    <w:pPr>
      <w:spacing w:after="0" w:line="240" w:lineRule="auto"/>
    </w:pPr>
    <w:rPr>
      <w:rFonts w:ascii="Calibri" w:eastAsia="Calibri" w:hAnsi="Calibri" w:cs="Times New Roman"/>
      <w:lang w:val="sq-AL"/>
    </w:rPr>
  </w:style>
  <w:style w:type="paragraph" w:customStyle="1" w:styleId="NoSpacing1">
    <w:name w:val="No Spacing1"/>
    <w:uiPriority w:val="1"/>
    <w:qFormat/>
    <w:rsid w:val="00486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112</cp:revision>
  <dcterms:created xsi:type="dcterms:W3CDTF">2024-01-08T10:41:00Z</dcterms:created>
  <dcterms:modified xsi:type="dcterms:W3CDTF">2024-01-08T13:48:00Z</dcterms:modified>
</cp:coreProperties>
</file>